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D-3955/2006 vom 19. November 2010</w:t>
      </w:r>
    </w:p>
    <w:p>
      <w:r>
        <w:t>Bundesverwaltungsgericht, 2010-11-19, FR</w:t>
      </w:r>
    </w:p>
    <w:p>
      <w:r>
        <w:rPr>
          <w:b/>
        </w:rPr>
        <w:t xml:space="preserve">Quelle: </w:t>
      </w:r>
      <w:r>
        <w:t>https://mcp.opencaselaw.ch/entscheid/bvger_D-3955_2006</w:t>
      </w:r>
    </w:p>
    <w:p>
      <w:r>
        <w:t>FR: TAF D-3955/2006 du 19 novembre 2010</w:t>
      </w:r>
    </w:p>
    <w:p>
      <w:r>
        <w:t>IT: TAF D-3955/2006 del 19 novembre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Arrêts du Tribunal administratif fédéral [ATAF] 2007/7 consid. 1.1 p. 57).</w:t>
      </w:r>
    </w:p>
    <w:p>
      <w:r>
        <w:rPr>
          <w:b/>
        </w:rPr>
        <w:t>E. 1.2</w:t>
      </w:r>
    </w:p>
    <w:p>
      <w:r>
        <w:t>Les recours interjetés devant les commissions fédérales de recours ou d'arbitrage ou devant les services de recours des départements et encore pendants au 31 décembre 2006 sont traités dès le 1er janvier 2007 par le Tribunal dans la mesure où il est compétent (art. 53 al. 2 phr. 1 LTAF). Tel est le cas en l'espèce.</w:t>
      </w:r>
    </w:p>
    <w:p>
      <w:r>
        <w:rPr>
          <w:b/>
        </w:rPr>
        <w:t>E. 1.3</w:t>
      </w:r>
    </w:p>
    <w:p>
      <w:r>
        <w:t>Le nouveau droit de procédure s'applique (art. 53 al. 2 phr. 2 LTAF).</w:t>
      </w:r>
    </w:p>
    <w:p>
      <w:r>
        <w:rPr>
          <w:b/>
        </w:rPr>
        <w:t>E. 1.4</w:t>
      </w:r>
    </w:p>
    <w:p>
      <w:r>
        <w:t>L'intéressée a qualité pour recourir. Présenté dans la forme et le délai prescrits par la loi, le recours est recevable (art. 48 let. a PA, art. 50 PA, dans leur version antérieure au 1er janvier 2007, s'agissant d'un recours déposé avant cette date, et art. 52 PA).</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1 et 2 de la Constitution fédérale (Cst., RS 101) (cf. Recueil officiel des arrêts du Tribunal fédéral suisse [ATF] 127 I 133 consid. 6 p. 137, rés. in SJ 2001 I 539). L'autorité administrative n'est toutefois tenue de s'en saisir qu'à certaines conditions. Tel est le cas, selon la jurisprudence et la doctrine, lorsque le requérant invoque l'un des motifs de révision prévus par l'art. 66 PA ou lorsque les circonstances (de fait ou de droit) se sont modifiées dans une mesure notable depuis le prononcé de la première décision. Dans ces hypothèses, la demande de réexamen doit être considérée comme un moyen de droit extraordinaire (cf. Jurisprudence et informations de la Commission suisse de recours en matière d'asile [JICRA] 2003 n° 17 p. 101ss, JICRA 2003 n° 7 consid. 1 p. 42s., JICRA 1995 n° 21 consid. 1b p. 203s., JICRA 1995 n° 14 consid. 5 p. 129s., JICRA 1993 n° 25 consid. 3 p. 178s., et jurisp. cit.; ULRICH HÄFELIN/GEORG MÜLLER/ FELIX UHLMANN, Allgemeines Verwaltungsrecht, 5ème éd., Zurich 2006, n. 1833, p. 392; ANDRÉ GRISEL, Traité de droit administratif, Neuchâtel 1984, vol. II, p. 947ss; ALFRED KÖLZ/ISABELLE HÄNER, Verwaltungsverfahren und Verwaltungsrechtspflege des Bundes, 2ème éd., Zurich 1998, p. 156ss; URSINA BEERLI-BONORAND, Die ausserordentlichen Rechtsmittel in der Verwaltungsrechtspflege des Bundes und der Kantone, Zurich 1985, p. 171ss, spéc. p. 179 et 185s., et réf. cit.).</w:t>
      </w:r>
    </w:p>
    <w:p>
      <w:r>
        <w:rPr>
          <w:b/>
        </w:rPr>
        <w:t>E. 2.2</w:t>
      </w:r>
    </w:p>
    <w:p>
      <w:r>
        <w:t>Selon une jurisprudence bien établie (Jurisprudence et informations de la Commission suisse de recours en matière d'asile [JICRA] 2000 n° 30) et sur laquelle il n'y a pas lieu de revenir, lorsqu'un droit au règlement des conditions de séjour, tiré par exemple du mariage avec un citoyen ou une citoyenne suisse, naît après la clôture définitive de la procédure d'asile, à la suite d'une décision entrée en force, ce droit ne constitue pas un motif de reconsidération de la décision de renvoi prononcée à l'issue de ladite procédure. Cela signifie en d'autres termes que la question de la licéité ou de l'illicéité du renvoi, sous l'angle du droit au respect de la vie familiale garanti par l'art. 8 CEDH, ne peut être analysée dans le cadre d'une demande de réexamen d'une décision de renvoi consécutive à un refus d'asile prononcé par les autorités fédérales. En effet, la question de savoir si un demandeur d'asile définitivement débouté peut prétendre demeurer en Suisse relève de la compétence des autorités cantonales de police des étrangers. Lorsque ces autorités délivrent un titre de séjour à la personne dont la demande d'asile a été rejetée, le prononcé de l'ODM relatif au renvoi, respectivement à son exécution, devient caduc sans autre. Cette jurisprudence, traitant du cas d'une personne mariée à un citoyen suisse, vaut également pour une personne qui, comme en l'espèce, prétend vivre une union maritale avec son fiancé au bénéfice d'une autorisation d'établissement en Suisse.</w:t>
      </w:r>
    </w:p>
    <w:p>
      <w:r>
        <w:rPr>
          <w:b/>
        </w:rPr>
        <w:t>E. 3</w:t>
      </w:r>
    </w:p>
    <w:p>
      <w:r>
        <w:t>En l'espèce, A._______ [...] a fondé sa demande de réexamen sur la modification de sa situation familiale, faisant valoir qu'elle vivait en concubinage avec le père de sa fille Gloria, lequel était au bénéfice d'une autorisation d'établissement en Suisse et avait reconnu la fillette, et que l'exécution de son renvoi serait contraire au principe du respect de la vie familiale garanti par l'art. 8 CEDH. Ce faisant, elle a également implicitement fait valoir qu'elle avait droit à l'octroi d'une autorisation de séjour. Or, force est de constater que l'intéressée est sous le coup d'une décision de refus d'asile et de renvoi définitive et exécutoire (décision de l'ODM du 18 juin 1998) et que, selon la jurisprudence précitée (cf. supra consid. 2.2), la question de la licéité de l'exécution du renvoi, sous l'angle du droit au respect de la vie familiale garanti par l'art. 8 CEDH, ne peut pas être analysée dans le cadre d'une demande de réexamen d'une décision de renvoi consécutive à un refus d'asile prononcé par les autorités fédérales. En effet, comme il l'a été relevé ci-dessus, la question de savoir si un demandeur d'asile définitivement débouté peut prétendre demeurer en Suisse, par exemple sur la base de la disposition précitée, ressortit alors aux autorités cantonales de police des étrangers compétentes en matière de délivrance d'autorisations de séjour. Il en découle que le motif invoqué par la recourante n'était pas de nature à ouvrir la voie du réexamen et que c'est donc à juste titre que l'ODM a déclaré sa demande irrecevable. Par conséquent, la question de savoir si, à ce jour, des démarches ont été entreprises en vue d'un mariage ou de l'obtention d'un permis B peut être laissée ouverte.</w:t>
      </w:r>
    </w:p>
    <w:p>
      <w:r>
        <w:rPr>
          <w:b/>
        </w:rPr>
        <w:t>E. 4</w:t>
      </w:r>
    </w:p>
    <w:p>
      <w:r>
        <w:t>Enfin, il est utile de rappeler ici que le renvoi prononcé à l'issue d'une procédure d'asile reste en vigueur aussi longtemps qu'une autorisation de police des étrangers n'a pas été délivrée (cf. JICRA 2005 n° 3 et jurisprudence citée).</w:t>
      </w:r>
    </w:p>
    <w:p>
      <w:r>
        <w:rPr>
          <w:b/>
        </w:rPr>
        <w:t>E. 5</w:t>
      </w:r>
    </w:p>
    <w:p>
      <w:r>
        <w:t>Au vu de ce qui précède, le recours doit être rejeté.</w:t>
      </w:r>
    </w:p>
    <w:p>
      <w:r>
        <w:rPr>
          <w:b/>
        </w:rPr>
        <w:t>E. 6</w:t>
      </w:r>
    </w:p>
    <w:p>
      <w:r>
        <w:t>Au vu de l'issue de la cause, il y a lieu de mettre les frais de procédure, d'un montant de Fr. 600.--,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