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D-3952/2023 vom 7. Juli 2023</w:t>
      </w:r>
    </w:p>
    <w:p>
      <w:r>
        <w:t>Bundesverwaltungsgericht, 2023-07-07, FR</w:t>
      </w:r>
    </w:p>
    <w:p>
      <w:r>
        <w:rPr>
          <w:b/>
        </w:rPr>
        <w:t xml:space="preserve">Quelle: </w:t>
      </w:r>
      <w:r>
        <w:t>https://mcp.opencaselaw.ch/entscheid/bvger_D-3952_2023_d20230707</w:t>
      </w:r>
    </w:p>
    <w:p>
      <w:r>
        <w:t>FR: TAF D-3952/2023 du 7 juillet 2023</w:t>
      </w:r>
    </w:p>
    <w:p>
      <w:r>
        <w:t>IT: TAF D-3952/2023 del 7 luglio 2023</w:t>
      </w:r>
    </w:p>
    <w:p>
      <w:pPr>
        <w:pStyle w:val="Heading2"/>
      </w:pPr>
      <w:r>
        <w:t>Regeste</w:t>
      </w:r>
    </w:p>
    <w:p>
      <w:r>
        <w:t>Asile et renvoi | Asile et renvoi; décision du SEM du 7 juillet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du recourant. Ce montant doit être compensé avec l'avance de frais de 750 francs, déjà versée le 28 juin 2024.</w:t>
      </w:r>
    </w:p>
    <w:p>
      <w:r>
        <w:rPr>
          <w:b/>
        </w:rPr>
        <w:t>E. 3</w:t>
      </w:r>
    </w:p>
    <w:p>
      <w:r>
        <w:t>Le présent arrêt est adressé au recourant, au SEM et à l'autorité cantonale. Le juge unique : Le greffier : Yanick Felley Léo Charveys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