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D-3947/2012 vom 8. Oktober 2012</w:t>
      </w:r>
    </w:p>
    <w:p>
      <w:r>
        <w:t>Bundesverwaltungsgericht, 2012-10-08, DE</w:t>
      </w:r>
    </w:p>
    <w:p>
      <w:r>
        <w:rPr>
          <w:b/>
        </w:rPr>
        <w:t xml:space="preserve">Quelle: </w:t>
      </w:r>
      <w:r>
        <w:t>https://mcp.opencaselaw.ch/entscheid/bvger_D-3947_2012</w:t>
      </w:r>
    </w:p>
    <w:p>
      <w:r>
        <w:t>FR: TAF D-3947/2012 du 8 octobre 2012</w:t>
      </w:r>
    </w:p>
    <w:p>
      <w:r>
        <w:t>IT: TAF D-3947/2012 del 8 ottobre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(vgl.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seiner Beschwerdeschrift macht der Beschwerdeführer im Wesentlichen geltend, Sri Lanka habe sich unter der Präsidentschaft von Mahinda Rajapakse zu einem Apartheid-Staat entwickelt, in dem die Minderheiten diskriminiert und unterdrückt würden. Und nicht nur das. Mittlerweile nehme ein anderes Ziel der sri-lankischen Regierung, nämlich die genozidale Vernichtung des tamilischen Volkes in Sri Lanka, drei Jahre nach der militärischen Zerstörung der LTTE, langsam Konturen an. Zudem gehöre der Beschwerdeführer zu einem Personenkreis, welcher unmöglich nach Sri Lanka zurückkehren könne, weil er dort mit Verfolgung durch die staatlichen Sicherheitskräfte oder den mit ihr verbündeten Milizen rechnen müsse. Er habe das Geschilderte selbst erlebt, und die vorinstanzliche Behauptung des Gegenteils sei aktenwidrig. Es sei nicht nachvollziehbar, wie das BFM zur Behauptung gelange, die Vorbringen des Beschwerdeführers seien nicht hinreichend begründet und zu wenig konkret und detailliert. Schliesslich wirkten die vom BFM vorgebrachten Widersprüche gesucht und entsprächen nicht den Aussagen. Im Übrigen belegten die mit Eingabe vom 31. August 2012 nachträglich eingereichten Dokumente den Wahrheitsgehalt seiner Vorbringen, stehe doch nun fest, dass das Militär eine falsche Person mit einem ähnlichen Namen festgenommen und ermordet habe. Die Suche habe wahrscheinlich dem Beschwerdeführer gegolten, da der Ermordete eine unpolitische und unbescholtene Person gewesen sei.</w:t>
      </w:r>
    </w:p>
    <w:p>
      <w:r>
        <w:rPr>
          <w:b/>
        </w:rPr>
        <w:t>E. 5.2</w:t>
      </w:r>
    </w:p>
    <w:p>
      <w:r>
        <w:t>Diese Vorbringen in der Beschwerdeschrift vermögen nicht zu einer veränderten Betrachtungsweise zu führen, weil die Vorbringen des Beschwerdeführers keinen ausreichenden Realitätsbezug haben. Dies zeigt sich bereits im Zusammenhang mit den Vorbringen des Beschwerdeführers zu seiner Ausreise aus dem Heimatstaat. So machte er etwa geltend, er sei auf dem Luftweg von Colombo aus mit einem "fremden sri-lankischen Pass" ausgereist. Bezeichnenderweise konnte er jedoch diesen nicht abgeben, wobei er die Frage, "warum er hier keinen Pass abgegeben habe", dahingehend beantwortete, dieser sei beim Schlepper geblieben (A8/11 Ziff. 5.01 und 4.02 S. 6), und fuhr fort: "Ich habe ihn bei der Bezirksverwaltung in Trincomalee beantragt, und dann wurde er per Post nach Hause geschickt. Er war 10 Jahre gültig." Nun ist zum einen nicht anzunehmen, die Bezirksverwaltung in Trincomalee habe dem Beschwerdeführer den "fremden sri-lankischen Pass" ausgestellt. Und zum anderen ist es auch nicht nachvollziehbar, weshalb der Beschwerdeführer seinen eigenen Reisepass einem Schlepper hätte abgeben sollen. Ausserdem dürfte auch bei der Einreise in den Schengen-Raum ein echtes Reisepapier vonnöten gewesen sein, weshalb der Beschwerdeführer in der Lage hätte sein müssen, zumindest das bei der Einreise benutzte Dokument den schweizerischen Asylbehörden abzugeben. Derartige Unstimmigkeiten im Zusammenhang mit der Schilderung des Reisewegs sind nicht nur per se unglaubhaft, sondern lassen ausserdem Rückschlüsse auch auf die Glaubhaftigkeit einer geltend gemachten Verfolgungssituation zu (Entscheidungen und Mitteilungen der Schweizerischen Asylrekurskommission [EMARK] 1998 Nr. 17 E. 4b S. 150). Dies bestätigt sich auch vorliegendenfalls, war der Beschwerdeführer doch beispielsweise ausserstande, sich substanziiert zu seinen persönlichen Erfahrungen während seiner nahezu zweijährigen Zeit bei der LTTE zu äussern (A21/10 D42 ff. S. 6), was ihm jedoch angesichts der langen Zeitspanne ausgesprochen leicht hätte fallen müssen. Desgleichen ist nicht davon auszugehen, dass der Vater des Beschwerdeführers diesen täglich über die unentwegten Fahndungsaktionen des sri-lankischen Militärs im Elternhaus persönlich informiert hätte (A21/10 D40/1 S. 6), wenn die Verfolgungsvorbringen den Tatsachen entsprächen. Bei derartigem Vorgehen hätte er lediglich seinen untergetauchten Sohn konkret gefährdet. Es ist nämlich entgegen den Vorbringen in der Beschwerdeschrift nicht davon auszugehen, dass das sri-lankische Militär - wegen der Bauweise der Dörfer oder der Fusspfade, auf denen sich lediglich Ortsansässige bewegten - die Kontakte des Vaters nicht auch abseits der Hauptstrasse hätte in Erfahrung bringen können. Derartige Hindernisse für eine Observation gibt es grundsätzlich nirgendwo und somit auch nicht in Sri Lanka. Die entsprechenden Vorbringen in der Beschwerdeschrift illustrieren vielmehr den fehlenden Wirklichkeitsbezug der geltend gemachten Verfolgungssituation. Auch bezüglich der Örtlichkeit, wo er über die Hausbesuche der sri-lankischen Armee informiert worden sei, äusserte sich der Beschwerdeführer widersprüchlich, wird doch durch die Angabe einer dritten Möglichkeit der Widerspruch zwischen den ursprünglichen Angaben nicht ausgeräumt (A8/11 Ziff. 7.02, A21/10 D54 S. 7). Dementsprechend ist davon auszugehen, dass die mit Eingabe vom 31. August 2012 nachträglich eingereichten Beweismittel in Wirklichkeit keinen Bezug zum Beschwerdeführer aufweisen. Bei dieser Sachlage erübrigt es sich, auf weitere Vorbringen in der Beschwerdeschrift näher einzugehen. Stattdessen kann auf die ausführlichen, rechtsgenüglich begründeten und zutreffenden Erwägungen in der angefochtenen Verfügung verwiesen werden.</w:t>
      </w:r>
    </w:p>
    <w:p>
      <w:r>
        <w:rPr>
          <w:b/>
        </w:rPr>
        <w:t>E. 5.3</w:t>
      </w:r>
    </w:p>
    <w:p>
      <w:r>
        <w:t>Zusammenfassend ist daher festzuhalten, dass es dem Beschwerdeführer nicht gelungen ist, nachzuweisen oder zumindest glaubhaft zu machen, dass er in seiner Heimat ernsthafte Nachteile gemäss Art. 3 AsylG erlitten hat oder solche bei der Ausreise zu befürchten hatte oder im Falle einer Rückkehr nach Sri Lanka befürchten müsste. Das BFM hat demnach zu Recht die Flüchtlingseigenschaft des Beschwerdeführers verneint und dessen Asylgesuch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 m.H.a.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Das Bundesverwaltungsgericht hat im derzeit massgebenden Grundsatzurteil BVGE 2011/24 eine neue Beurteilung der allgemeinen Lage sowie der Nord- und Ostprovinzen Sri Lankas unter dem Sicherheitsaspekt vorgenommen und dazu im Wesentlichen folgendes festgehalten: Seit Beendigung des bewaffneten Konflikts zwischen der sri-lankischen Armee und der LTTE im Mai 2009 hat sich die allgemeine Lage in Sri Lanka erheblich verbessert (vgl. a.a.O. E. 7.6). Die LTTE wurden militärisch vernichtend geschlagen; von der LTTE geht heute keine Verfolgung mehr aus. Die Lage in der Nordprovinz ist gebietsweise sehr unterschiedlich. So herrscht in den Gebieten, die bereits seit längerer Zeit unter Regierungskontrolle stehen, das heisst in den Distrikten Jaffna und in den südlichen Teilen der Distrikte Vavuniya und Mannar (mit anderen Worten: die Nordprovinz unter Ausschluss des sogenannten "Vanni-Gebietes") keine Situation allgemeiner Gewalt. Zudem ist die dortige politische Lage nicht dermassen angespannt, dass eine Rückkehr dorthin als generell unzumutbar eingestuft werden müsste. Angesichts der im humanitären und wirtschaftlichen Bereich nach wie vor fragilen Lage drängt sich aber beim Wegweisungsvollzug in dieses Gebiet eine sorgfältige, zurückhaltende Beurteilung der individuellen Zumutbarkeitskriterien auf. Nebst der allgemeinen Zumutbarkeit (u.a. sozio-ökonomische und medizinische Aspekte, Kindeswohl etc.), ist dabei auch dem zeitlichen Element gebührend Rechnung zu tragen. Für Personen, die aus der Nordprovinz stammen und dieses Gebiet erst nach Beendigung des Bürgerkrieges im Mai 2009 verlassen haben, ist der Wegweisungsvollzug (zurück) in dieses Gebiet als grundsätzlich zumutbar zu beurteilen, wenn davon ausgegangen werden kann, dass die betreffende Person auf die gleiche oder gleichwertige Lebens- und Wohnsituation zurückgreifen kann, die im Zeitpunkt der Ausreise geherrscht hat und dem Wegweisungsvollzug dorthin nichts im Wege steht (vgl. a.a.O. E. 13.2.1).</w:t>
      </w:r>
    </w:p>
    <w:p>
      <w:r>
        <w:rPr>
          <w:b/>
        </w:rPr>
        <w:t>E. 7.4.2</w:t>
      </w:r>
    </w:p>
    <w:p>
      <w:r>
        <w:t>Gemäss eigenen Angaben lebte der junge, soweit aktenkundig gesunde und ledige Beschwerdeführer seit seiner Geburt bis im Jahre 2007 in Q._______ (M._______, Ostprovinz), wo er nach wie vor über ein ausgedehntes soziales Netz verfügt (vgl. A8/11 Ziff. 2.01 S. 4, Ziff. 3.01 S. 5). Analoges lässt sich von N._______ (Jaffna, Nordprovinz) berichten, wo er von Januar 2009 bis ungefähr Oktober 2011 lebte und einer Erwerbstätigkeit nachging (A8/11 Ziff. 1.17.05 und 2.01 S. 4, A21/10 D6 S. 3). Dementsprechend ist davon auszugehen, dass der Beschwerdeführer nach der Rückkehr in den Heimatstaat auf die gleiche oder gleichwertige Lebens- und Wohnsituation zurückgreifen kann, die im Zeitpunkt der Ausreise geherrscht hat, weshalb dem Wegweisungsvollzug dorthin nichts im Wege steht. Blosse soziale und wirtschaftliche Schwierigkeiten, von denen die ansässige Bevölkerung im Allgemeinen betroffen ist, genügen nämlich nicht, um eine konkrete Gefährdung im Sinne von Art. 83 Abs. 4 AuG darzustellen (vgl. BVGE 2008/34 E. 11.2.2). Es erweist sich somit, dass der Beschwerdeführer die vom Bundesverwaltungsgericht in der Lagebeurteilung vom 27. Oktober 2011 bezüglich der Zumutbarkeit des Wegweisungsvollzugs nach Sri Lanka formulierten Kriterien erfüllt. In casu liegen keine Anhaltspunkte vor, die darauf schliessen liessen, der Beschwerdeführer sei bei einer Rückkehr nach Sri Lanka einer konkreten Gefährdung im Sinne von Art. 83 Abs. 4 AuG ausgesetzt, weshalb der Vollzug der Wegweisung als zumutbar zu bezeichnen ist.</w:t>
      </w:r>
    </w:p>
    <w:p>
      <w:r>
        <w:rPr>
          <w:b/>
        </w:rPr>
        <w:t>E. 7.5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dem Beschwerdeführer aufzuerlegen (Art. 63 Abs. 1 und 5 VwVG), auf insgesamt Fr. 600.- festzusetzen (Art. 1 - 3 des Reglements vom 21. Februar 2008 über die Kosten und Entschädigungen vor dem Bundesverwaltungsgericht [VGKE, SR 173.320.2]) und mit dem am 21. August 2012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