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D-3947/2009 vom 5. März 2010</w:t>
      </w:r>
    </w:p>
    <w:p>
      <w:r>
        <w:t>Bundesverwaltungsgericht, 2010-03-05, DE</w:t>
      </w:r>
    </w:p>
    <w:p>
      <w:r>
        <w:rPr>
          <w:b/>
        </w:rPr>
        <w:t xml:space="preserve">Quelle: </w:t>
      </w:r>
      <w:r>
        <w:t>https://mcp.opencaselaw.ch/entscheid/bvger_D-3947_2009</w:t>
      </w:r>
    </w:p>
    <w:p>
      <w:r>
        <w:t>FR: TAF D-3947/2009 du 5 mars 2010</w:t>
      </w:r>
    </w:p>
    <w:p>
      <w:r>
        <w:t>IT: TAF D-3947/2009 del 5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Beschwerdebegründung macht der Beschwerdeführer im Wesentlichen geltend, die Botschaftsantwort sei in verschiedener Hinsicht fragwürdig ausgefallen. So etwa wäre es aufgrund der Verschwiegenheitspflicht den Behörden nicht erlaubt gewesen, Personendaten des Beschwerdeführers an den Heimatstaat weiterzugeben. Dementsprechend habe die Botschaft gegen die Datenschutzbestimmungen des Asylgesetzes und gegen das Datenschutzgesetz verstossen. Darüber hinaus habe das BFM mit der Weitergabe besonders schützenswerter Daten an die syrischen Behörden einen objektiven Nachfluchtgrund geschaffen. Zudem sei er mit dem Abklärungsergebnis der Schweizerischen Botschaft in Damaskus überhaupt nicht einverstanden. Auch könne er die Würdigung seiner Vorbringen zur geltend gemachten Haft als erfahrungswidrig und unlogisch nicht nachvollziehen. Auch in Fällen, in denen keine Anklage erhoben werde, komme es in Syrien nämlich häufig zu langer Haft und Folter durch die Geheimdienste. Dies bestätige ein Bericht der Schweizerischen Flüchtlingshilfe. Demgegenüber stütze sich die Vorinstanz bei ihrer Beurteilung offensichtlich nicht auf Länderberichte, sondern stelle irgendwelche Behauptungen in den Raum.</w:t>
      </w:r>
    </w:p>
    <w:p>
      <w:r>
        <w:rPr>
          <w:b/>
        </w:rPr>
        <w:t>E. 5.2</w:t>
      </w:r>
    </w:p>
    <w:p>
      <w:r>
        <w:t>Diese Vorbringen in der Beschwerdeschrift vermögen indessen nicht zu einer veränderten Betrachtungsweise zu führen, zumal aufgrund der Akten keinerlei Anlass zur Annahme besteht, die Abklärungen des Vertrauensanwalts in Syrien seien in casu geeignet, den Beschwerdeführer oder seine Angehörigen zu gefährden. Es versteht sich von selbst, dass bei personenbezogenen Abklärungen bei einer ausländischen Behörde die entsprechenden Personendaten offengelegt werden müssen und auch offengelegt werden dürfen (vgl. Art. 96 AsylG). Dies ist denn auch unproblematisch, weil die Behörden des Heimatstaats über den Kontext, in dem die Abklärungen stattfinden, gar keine Kenntnis erlangen. Auch der Vertrauensanwalt braucht für die Erfüllung seiner Aufgaben keine Kenntnis des Kontextes, weshalb der Beschwerdeführer aufgrund der Botschaftsabklärung nicht mit Nachteilen irgendwelcher Art im Heimatstaat zu rechnen braucht und sich somit auch nicht auf objektive Nachfluchtgründe berufen kann. In casu steht zudem fest, dass auch keine Vorfluchtgründe vorliegen, zumal die Vorbringen des Beschwerdeführers durch die Botschaftsabklärung zweifelsfrei widerlegt werden. Zur Vermeidung von Wiederholungen kann dieser Stelle auf die zutreffenden Erwägungen in der angefochtenen Verfügung verwiesen werden. Was schliesslich die vom Beschwerdeführer geschilderte einjährige Haft anbelangt, so ist deren Glaubhaftigkeit weder aufgrund von Berichten der Schweizerischen Flüchtlingshilfe noch aufgrund von Länderberichten des BFM, sondern in erster Linie aufgrund der Vorbringen des Beschwerdeführers selbst zu beurteilen. Wie die Vorinstanz indessen zu Recht festgehalten hat, sind die entsprechenden Vorbringen unsubstanziiert ausgefallen. Dementsprechend führt kein Weg an der Erkenntnis vorbei, der Beschwerdeführer konnte bei seinen Schilderungen nicht auf Erinnerungen an tatsächliche Begebenheiten zurückgreifen, sondern hat die geltend gemachte Verfolgungssituation lediglich erfunden.</w:t>
      </w:r>
    </w:p>
    <w:p>
      <w:r>
        <w:rPr>
          <w:b/>
        </w:rPr>
        <w:t>E. 5.3</w:t>
      </w:r>
    </w:p>
    <w:p>
      <w:r>
        <w:t>Angesichts dieser Sachlage erübrigt es sich, auf die weiteren Vorbringen in der Beschwerde sowie die eingereichten Beweismittel im Detail einzugehen, da sie am Ergebnis nichts zu ändern vermögen. Zusammenfassend ist festzustellen, dass beim Beschwerdeführer keine Verfolgung im Sinne von Art. 3 AsylG vorliegt und er nicht als Flüchtling anerkannt werden kann. Mangels erfüllter Flüchtlingseigenschaft ist ihm zu Recht das nachgesuchte Asyl nicht gewährt worden.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(Schweizerische Asylrekurskommission)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In Syrien herrscht zurzeit keine Situation allgemeiner Gewalt, weshalb in konstanter Praxis von der generellen Zumutbarkeit des Wegweisungsvollzugs ausgegangen wird. In den Akten finden sich auch keine Anhaltspunkte dafür, dass der Beschwerdeführer aus individuellen Gründen wirtschaftlicher, sozialer oder gesundheitlicher Natur in eine existenzbedrohende Situation geraten würde. Es handelt sich beim Beschwerdeführer um einen jungen Mann ohne aktenkundige gesundheitliche Probleme. Er verfügt in seiner Heimatregion über ein ausgedehntes, tragfähiges familiäres Beziehungsnetz, auf das er bei Bedarf zurückgreifen kann (A1/10 S. 3). Er war vor der Ausreise als O._______ im väterlichen Geschäft tätig, und es ist dem Beschwerdeführer ohne Weiteres zuzumuten, nach seiner Rückkehr nach Syrien erneut dieser oder einer anderen Erwerbstätigkeit nachzugehen. Dabei wird er bei Bedarf weiterhin auf die Unterstützung seines wohlhabenden Vaters zählen können (vgl. A1/10 S. 7). Insgesamt bestehen daher keine konkreten Anzeichen dafür, dass der Beschwerdeführer bei einer Rückkehr in sein Heimatland in eine existenzielle Notlage geraten würde, weshalb der Vollzug der Wegweisung zumutbar ist. Nach dem Gesagten erweist sich Vollzug der Wegweisung auch als zumutbar.</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1 - 3 des Reglements vom 21. Februar 2008 über die Kosten und Entschädigungen vor dem Bundesverwaltungsgericht [VGKE, SR 173.320.2]) und mit dem am 14. Juli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