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D-393/2024 vom 21. Dezember 2023</w:t>
      </w:r>
    </w:p>
    <w:p>
      <w:r>
        <w:t>Bundesverwaltungsgericht, 2023-12-21, DE</w:t>
      </w:r>
    </w:p>
    <w:p>
      <w:r>
        <w:rPr>
          <w:b/>
        </w:rPr>
        <w:t xml:space="preserve">Quelle: </w:t>
      </w:r>
      <w:r>
        <w:t>https://mcp.opencaselaw.ch/entscheid/bvger_D-393_2024_d20231221</w:t>
      </w:r>
    </w:p>
    <w:p>
      <w:r>
        <w:t>FR: TAF D-393/2024 du 21 décembre 2023</w:t>
      </w:r>
    </w:p>
    <w:p>
      <w:r>
        <w:t>IT: TAF D-393/2024 del 21 dicembre 2023</w:t>
      </w:r>
    </w:p>
    <w:p>
      <w:pPr>
        <w:pStyle w:val="Heading2"/>
      </w:pPr>
      <w:r>
        <w:t>Regeste</w:t>
      </w:r>
    </w:p>
    <w:p>
      <w:r>
        <w:t>Verweigerung vor&amp;uuml;bergehender Schutz | Verweigerung vorübergehender Schutz; Verfügung des SEM vom 21.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sowie des vorübergehenden Schutzes – in der Regel und auch vorliegend – endgültig (Art. 72 i.V.m.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In der Beschwerde wird zunächst gerügt, die Vorinstanz habe ihre Un- tersuchungspflicht verletzt, indem sie sich nur sehr oberflächlich mit dem Abhängigkeitsverhältnis zwischen der Beschwerdeführerin und ihrer</w:t>
      </w:r>
    </w:p>
    <w:p>
      <w:r>
        <w:t>D-393/2024 Seite 6 Tochter befasst habe. Zudem sei auf eine vertiefte Auseinandersetzung mit ihrer Situation in Russland verzichtet worden.</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 tenwidriger Sachverhalt zugrunde gelegt wird; unvollständig ist sie, wenn nicht alle für den Entscheid rechtsrelevanten Sachumstände berücksichtigt wurden (vgl. BVGE 2016/2 E. 4.3.).</w:t>
      </w:r>
    </w:p>
    <w:p>
      <w:r>
        <w:rPr>
          <w:b/>
        </w:rPr>
        <w:t>E. 3.3</w:t>
      </w:r>
    </w:p>
    <w:p>
      <w:r>
        <w:t>Nach Durchsicht der Akten stellt das Gericht fest, dass keine Verlet- zung des Untersuchungsgrundsatzes ersichtlich ist, mithin die Vorinstanz den rechtserheblichen Sachverhalt vollständig und richtig festgestellt hat. Anlässlich der Befragung vom 18. September 2023 sind der Beschwerde- führerin zum Verhältnis zu ihrer Tochter hinreichende Fragen gestellt wor- den, mithin wurde sie gar aufgefordert, medizinische Unterlagen betreffend das geltend gemachte Abhängigkeitsverhältnis einzureichen (vgl. SEM- Akte […] [nachfolgend Akte]-7/10, F10 ff.). Auch zur Situation in Russland konnte sie sich genügend äussern (vgl. Akte 7/10 F20 f.). Die Vorinstanz hat demnach alle für den Entscheid rechtsrelevante Sachumstände be- rücksichtigt, weshalb sich die diesbezügliche formelle Rüge als unbegrün- det erweist.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w:t>
      </w:r>
    </w:p>
    <w:p>
      <w:r>
        <w:t>D-393/2024 Seite 7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stellte in der angefochtenen Verfügung fest, die Beschwer- deführerin gehöre nicht einer vom Bundesrat definierten schutzberechtig- ten Personengruppe. Da sie russische Staatsangehörige sei, falle aus- schliesslich eine Zugehörigkeit zur Personengruppe gemäss Bst. c der All- gemeinverfügung in Betracht. Zwar habe sie geltend gemacht, dass es in Russland gefährlich sei, die eigene Meinung öffentlich zu äussern, und dies unter Umständen eine strafrechtliche Verantwortung gemäss dem neu er- lassenen Gesetz gegen die Diskreditierung des russischen Militärs nach sich ziehen könne. Die Beschwerdeführerin habe jedoch nicht dargelegt, dass ihr eine solche Strafe drohen würde; auch in der ihr angedrohten Kün- digung sei keine Gefährdung ihrer Person zu sehen. Ferner sei ihr Vorbrin- gen, ihr Telefon könnte abgehört werden, rein spekulativ. Entsprechend sei davon auszugehen, dass sie sicher und dauerhaft nach Russland zurück- kehren könne, weshalb sie nicht unter Bst. c der Allgemeinverfügung falle. Auch die Unterstützung ihrer kranken Tochter ändere an der Einschätzung nichts. Zwar sei es menschlich nachvollziehbar, dass die Beschwerdefüh- rerin in der Nähe ihrer Tochter sein wolle, jedoch gehe aus den eingereich- ten medizinischen Unterlagen nicht hervor, dass ein Abhängigkeitsverhält- nis bestehe oder ihre Tochter ohne die Hilfe der Beschwerdeführerin in eine medizinische Notlage geraten würde.</w:t>
      </w:r>
    </w:p>
    <w:p>
      <w:r>
        <w:t>D-393/2024 Seite 8</w:t>
      </w:r>
    </w:p>
    <w:p>
      <w:r>
        <w:rPr>
          <w:b/>
        </w:rPr>
        <w:t>E. 5.2</w:t>
      </w:r>
    </w:p>
    <w:p>
      <w:r>
        <w:t>In der Beschwerdeschrift bringt die Beschwerdeführerin vor, sie habe eine starke Verbindung zur Ukraine. Alle ihre verstorbenen Verwandten seien dort begraben, sie habe in der Ukraine studiert und gearbeitet und ihre Tochter sei dort geboren. Im Jahr 2014 habe sie gemeinsam mit ihrem Ehegatten eine Wohnung in D._______ bauen lassen, welche im Jahr 2016 fertig gestellt worden sei. Seit dem Jahr 2017 verfüge sie über eine ukrainische Niederlassungsbewilligung. Dies unterstreiche die Langfristig- keit ihrer Pläne, nach der Pensionierung ihres Ehemannes in die Ukraine zurückzukehren und sich dort niederzulassen. Es sei unbestritten, dass sie zum Zeitpunkt des Kriegsausbruchs eine gül- tige ukrainische Aufenthaltsbewilligung gehabt habe. Aufgrund ihrer indivi- duellen Situation sei es ihr nicht möglich, dauerhaft in Sicherheit nach Russland zurückzukehren. Insbesondere habe sie in Russland kein sozia- les Netz und wäre bei einer Rückkehr isoliert. Aufgrund der weitreichenden Einschränkungen der Meinungsäusserungsfreiheit drohe ihr ausserdem eine Verfolgung, etwa in der Form einer Gefängnisstrafe, sofern sie ihre Meinung öffentlich kundtun würde. Sodann habe das SEM ihre geltend gemachten Asylgründe nicht weiter geprüft. Im Falle der Ablehnung eines Schutzstatus sei die Vorinstanz an- zuhalten, ein Asylverfahren durchzuführen, zumal ihre eindeutigen Äusse- rungen Anlass für weitere Abklärungen, namentlich eine Anhörung im Sinne von Art. 29 AsylG, geboten hätten.</w:t>
      </w:r>
    </w:p>
    <w:p>
      <w:r>
        <w:rPr>
          <w:b/>
        </w:rPr>
        <w:t>E. 5.3</w:t>
      </w:r>
    </w:p>
    <w:p>
      <w:r>
        <w:t>In ihrer Vernehmlassung erklärt die Vorinstanz, die Beschwerdeführerin habe im Zeitpunkt des Kriegsausbruchs im Februar 2022 in Russland ge- wohnt, sie verfüge in C._______ über Wohneigentum und habe dort gear- beitet. Ihr Lebensmittelpunkt habe sich damals nicht in der Ukraine befun- den. Aus dem Umstand, dass sie geplant habe, ihren Lebensabend in der Ukraine zu verbringen, vermöge sie nichts zu ihren Gunsten abzuleiten. Mit Blick auf das Verhältnis zur Tochter führte die Vorinstanz aus, der umge- kehrte Familiennachzug sei gemäss Art. 51 AsylG nicht vorgesehen, wes- halb ein Einbezug in den Status der Tochter nicht möglich sei. Weiter hielt das SEM fest, es erfolge praxisgemäss kein «automatischer Transfer» vom Schutzverfahren ins Asylverfahren. Hierfür müsse nicht nur eine Verfolgung nach Art. 18 AsylG geltend gemacht werden, sondern die Betroffenen hätten auch explizit ihren Willen, ein Asylverfahren zu durch- laufen, zu äussern. Dies habe die Beschwerdeführerin indessen nicht ge- tan und erstmals in der Beschwerdeschrift vorgebracht, im Falle der</w:t>
      </w:r>
    </w:p>
    <w:p>
      <w:r>
        <w:t>D-393/2024 Seite 9 Ablehnung ihres Schutzgesuchs ein reguläres Asylverfahren durchführen zu wollen. Infolgedessen werde das SEM ein ordentliches Asylverfahren durchführen und die Beschwerdeführerin werde mit separatem Schreiben aufgefordert, sich zwecks Registrierung ihres Asylgesuchs in ein BAZ zu begeben, wobei mit dessen Behandlung bis zur Rechtskraft des Ent- scheids über das Schutzgesuch zugewartet werde.</w:t>
      </w:r>
    </w:p>
    <w:p>
      <w:r>
        <w:rPr>
          <w:b/>
        </w:rPr>
        <w:t>E. 5.4</w:t>
      </w:r>
    </w:p>
    <w:p>
      <w:r>
        <w:t>In ihrer Replik stellte sich die Beschwerdeführerin auf den Standpunkt, ihr Lebensmittelpunkt habe sich in D._______ und nicht in C._______ be- funden. Das SEM verweise darauf, dass sie in C._______ eine Wohnung besitze. Sie habe jedoch bereits vor mehreren Jahren mit ihrem Ehemann zusammen in D._______ ebenfalls Wohneigentum erworben, wobei die Wohnung ungleich grösser sei als jene in C._______, welche sie zudem erst im Jahr 2019 gekauft hätten. Sie habe bereits dargelegt, dass sie in ihrer Jugend in der Ukraine gelebt und dort einen Hochschulabschluss er- worben habe. Zudem hätten wesentliche Bezugspunkte in ihrem Leben, etwa ihre Heirat, die Geburt ihrer Tochter oder die Beisetzung von Angehö- rigen, in der Ukraine stattgefunden, weshalb ihr Lebensmittelpunkt in der Ukraine und nicht in Russland gewesen sei.</w:t>
      </w:r>
    </w:p>
    <w:p>
      <w:r>
        <w:rPr>
          <w:b/>
        </w:rPr>
        <w:t>E. 6.1</w:t>
      </w:r>
    </w:p>
    <w:p>
      <w:r>
        <w:t>Die Beschwerdeführerin ist einerseits nicht ukrainische Staatsange- hörige und verfügt andererseits nicht über einen Schutzstatus in der Ukra- ine, womit die Anwendung von Ziff. I Bstn. a und b der Allgemeinverfügung vom 11. März 2022 von vornherein ausser Betracht fallen.</w:t>
      </w:r>
    </w:p>
    <w:p>
      <w:r>
        <w:rPr>
          <w:b/>
        </w:rPr>
        <w:t>E. 6.2</w:t>
      </w:r>
    </w:p>
    <w:p>
      <w:r>
        <w:t>Weiter merkte das SEM in der Vernehmlassung zutreffend an, dass sich der Lebensmittelpunkt der Beschwerdeführerin zum Zeitpunkt des Kriegsausbruchs nicht in D._______, sondern in C._______ befand. Auch wenn sie mehrere persönliche Bezugspunkte zur Ukraine hat, hielt sie sich in den vergangenen Jahren mehrheitlich in Russland auf. Sie verfügt zwar in der Ukraine über eine permanente Aufenthaltsbewilligung und besitzt dort eine Wohnung. Obwohl diese bereits im Jahr 2016 fertiggestellt wurde (vgl. Akte 7/10, F15), wohnte sie jedoch weiterhin in Russland. Sie gab selbst an, dass sie und ihr Ehemann geplant hätten, im Jahr 2021 in die Ukraine zu ziehen, wobei sie dies zunächst aufgrund der Corona-Pande- mie aufgeschoben hätten und später ihr Ehemann verstorben sei (vgl. Akte 7/10, F35). Sie sei dann besuchsweise zu ihrer Tochter nach E._______ gereist, um sich vom Verlust ihres Gatten zu erholen (vgl. Akte 7/10, F6). Die Stempel in ihrem Reisepass zeigen, dass sie auch kurz vor Kriegsaus- bruch, am 20. Februar 2022, in die Ukraine einreiste (vgl. Akte 2/46). Zu</w:t>
      </w:r>
    </w:p>
    <w:p>
      <w:r>
        <w:t>D-393/2024 Seite 10 keinem Zeitpunkt bewohnte sie jedoch längerfristig ihre Wohnung in D._______. Der Umstand, dass sie vorhatte, sich zukünftig dort niederzu- lassen, reicht nicht aus, um von einem Lebensmittelpunkt in der Ukraine auszugehen. Massgeblich ist vielmehr, an welchem Ort sie zum damaligen Zeitpunkt ihren Lebensmittelpunkt hatte. Bei der vorliegenden Sachlage ist klar davon auszugehen, dass die Beschwerdeführerin als russische Staatsbürgerin bei Kriegsausbruch ihren Wohnsitz in C._______ hatte. Entsprechend kommt die Allgemeinverfügung betreffend den Schutz von Personen, die aufgrund der Kriegssituation in der Ukraine einer Gefähr- dung ausgesetzt sind, nicht zur Anwendung. Das SEM hat somit ihr Gesuch um Gewährung vorübergehenden Schutzes im Ergebnis zu Recht abgelehnt.</w:t>
      </w:r>
    </w:p>
    <w:p>
      <w:r>
        <w:rPr>
          <w:b/>
        </w:rPr>
        <w:t>E. 7.1</w:t>
      </w:r>
    </w:p>
    <w:p>
      <w:r>
        <w:t>Beabsichtigt das SEM, den vorübergehenden Schutz zu verweigern, so setzt es das Verfahren über die Anerkennung als Flüchtling oder das Wegweisungsverfahren unverzüglich fort (Art. 69 Abs. 4 AsylG). Dabei ist eine Anhörung zu den Asylgründen nach Art. 29 AsylG durchzuführen, falls um Schutz im Sinne von Art. 18 AsylG ersucht wird (vgl. Urteile des BVGer D-6537/2023 vom 16. Januar 2025 E. 4.1 und D-5522/2023, D-5520/2023 vom 18. Januar 2024 E. 6.1, je m.H.). Als Asylgesuch gilt gemäss Art. 18 AsylG jede Äusserung, mit der eine Person zu erkennen gibt, dass sie die Schweiz um Schutz vor Verfolgung ersucht, wobei diesbezüglich von ei- nem weiten Verfolgungsbegriff auszugehen ist.</w:t>
      </w:r>
    </w:p>
    <w:p>
      <w:r>
        <w:rPr>
          <w:b/>
        </w:rPr>
        <w:t>E. 7.2</w:t>
      </w:r>
    </w:p>
    <w:p>
      <w:r>
        <w:t>Bereits anlässlich der Kurzbefragung hat die Beschwerdeführerin zu- mindest gewisse Gründe angeführt, die gegen eine Rückkehr nach Russ- land sprechen, und implizit geltend gemacht, sie könnte aufgrund ihrer po- litischen Meinung angesichts der russischen Diskreditierungsgesetzte eine Gefängnisstrafe zu befürchten haben (vgl. Akte 7/10, F19 f.). Selbst wenn diese Äusserung noch nicht als Asylgesuch im Sinne des Art. 18 AsylG ge- wertet werden sollte, wurde spätestens in der Beschwerdeeingabe explizit geltend gemacht, im Falle einer Ablehnung des Gesuchs um vorüberge- henden Schutz sei ein Asylverfahren durchzuführen.</w:t>
      </w:r>
    </w:p>
    <w:p>
      <w:r>
        <w:rPr>
          <w:b/>
        </w:rPr>
        <w:t>E. 7.3</w:t>
      </w:r>
    </w:p>
    <w:p>
      <w:r>
        <w:t>Vor diesem Hintergrund hat das SEM die Beschwerdeführerin während des laufenden Beschwerdeverfahrens am 27. Februar 2024 aufgefordert, sich zwecks Einleitung eines Asylgesuchs in einem Bundesasylzentrum zu melden. Es ergingen mehrere entsprechende Aufforderungen, wobei aus den Akten nicht klar hervorgeht, ob sich die Beschwerdeführerin – die sich</w:t>
      </w:r>
    </w:p>
    <w:p>
      <w:r>
        <w:t>D-393/2024 Seite 11 am 3. Mai 2024 beim BAZ G._______ gemeldet haben soll (vgl. Beschwer- deakten Ziff. 11, S. 2) – im BAZ abgewiesen wurde, nicht dort bleiben wollte oder möglicherweise ungenügend über ihre Mitwirkungspflichten informiert wurde. Jedenfalls schrieb das SEM das Asylgesuch infolge Verletzung der Mitwirkungspflicht am 3. Juni 2024 ab. Ein Gesuch der Beschwerdeführerin um Wiederaufnahme vom 7. Juni 2024 wurde soweit ersichtlich nicht be- antwortet.</w:t>
      </w:r>
    </w:p>
    <w:p>
      <w:r>
        <w:rPr>
          <w:b/>
        </w:rPr>
        <w:t>E. 7.4</w:t>
      </w:r>
    </w:p>
    <w:p>
      <w:r>
        <w:t>Mit der Einreichung einer Beschwerde geht die Behandlung der Sache, welche Gegenstand der mit Beschwerde angefochtenen Verfügung bildet, aufgrund des Devolutiveffekts auf die Beschwerdeinstanz über (Art. 54 VwVG). Das SEM ist somit nicht befugt, während eines laufenden Be- schwerdeverfahrens ein weiteres Verfahren einzuleiten, welches densel- ben Gegenstand hat. Die angefochtene Verfügung betraf einerseits die Verweigerung vorübergehenden Schutzes, andererseits die Anordnung der Wegweisung und des Vollzugs. Die Prüfung von allfälligen Wegwei- sungsvollzugshindernissen umfasst unter anderem auch die Frage, ob die Rückkehr in den Heimatstaat zulässig ist, oder ob dieser namentlich das Non-Refoulement-Gebot (Art. 5 Abs. 1 AsylG, Art. 33 Abs. 1 des Abkom- mens über die Rechtsstellung der Flüchtlinge SR 0.142.30]) entgegen- steht. Bei der Behandlung der vorliegenden Beschwerde müsste somit auch beurteilt werden, ob der Beschwerdeführerin in Russland ernsthafte Nachteile aus einem flüchtlingsrechtlich relevanten Grund drohen und mit- hin völkerrechtliche Vollzugshindernisse vorliegen (vgl. Art. 83 Abs. 3 AIG [SR 142.20]). Die Prüfungshoheit diese Frage betreffend, liegt während des hängigen Beschwerdeverfahrens beim Bundesverwaltungsgericht. Die Durchführung eines Asylverfahrens und die damit verbundene Beurteilung der Frage, ob die Beschwerdeführerin im Heimatstaat einer flüchtlings- rechtlich relevanten Gefährdung ausgesetzt ist, muss jedoch zuerst erfol- gen. Erst wenn die Flüchtlingseigenschaft verneint und das Asylgesuch ab- gelehnt wird, kann die Anordnung der Wegweisung und des Vollzugs ge- prüft werden.</w:t>
      </w:r>
    </w:p>
    <w:p>
      <w:r>
        <w:rPr>
          <w:b/>
        </w:rPr>
        <w:t>E. 7.5</w:t>
      </w:r>
    </w:p>
    <w:p>
      <w:r>
        <w:t>Bei dieser Sachlage war das SEM nicht befugt, im Frühjahr 2024 ein Asylverfahren einzuleiten respektive die Beschwerdeführerin mehrmalig zur Einleitung eines solchen aufzufordern. In dessen Rahmen wären Fra- gen zu beurteilen, deren Prüfung während des hängigen Beschwerdever- fahrens unter die Verfahrenshoheit des Bundesverwaltungsgerichts fällt. Nur im Zuge des Schriftenwechsels hätte das SEM gestützt auf Art. 58 VwVG die Möglichkeit gehabt, die angefochtene Verfügung (teilweise) in Wiedererwägung zu ziehen und das Verfahren zwecks Prüfung des</w:t>
      </w:r>
    </w:p>
    <w:p>
      <w:r>
        <w:t>D-393/2024 Seite 12 Asylgesuchs wiederaufzunehmen. Dies hat es aber nicht getan, sondern eine Vernehmlassung eingereicht, ohne auf seine Verfügung zurückzu- kommen. Die Verfahrenshoheit lag damit ausschliesslich beim Bundesver- waltungsgericht. Sämtliche Verfahrensschritte, welche das SEM in der Folge bezüglich des Asylgesuchs tätigte, sind mithin aufgrund des Devolu- tiveffekts als unzulässig zu erachten und entfalten keine Rechtswirkung (vgl. dazu etwa die Urteile des BVGer F-722/2024, F-1105/2024 vom 26. März 2024 E. 3.3.1 und D-6787/2019 vom 11. April 2022 E. 3.2, je m.H.).</w:t>
      </w:r>
    </w:p>
    <w:p>
      <w:r>
        <w:rPr>
          <w:b/>
        </w:rPr>
        <w:t>E. 7.6</w:t>
      </w:r>
    </w:p>
    <w:p>
      <w:r>
        <w:t>Mit seinen Aufforderungen an die Beschwerdeführerin, sich für das Asylverfahren in einem BAZ zu melden, um ein Asylverfahren einzuleiten, hat das SEM indessen implizit anerkannt, dass die Durchführung eines sol- chen erforderlich ist. Dies ergibt sich auch aus der unmissverständlichen Äusserung in der Beschwerdeeingabe (vgl. Rechtsbegehren 3 und Seite 7). Entsprechend liegt ein Asylgesuch der Beschwerdeführerin im Sinne von Art. 18 AsylG vor. Gestützt auf Art. 69 Abs. 4 AsylG ist das SEM in einem solchen Fall gehalten, nach der Verweigerung vorübergehenden Schutzes das Verfahren betreffend die Anerkennung als Flüchtling fortzu- setzen. Es kann offensichtlich nicht davon ausgegangen werden, dass die Beschwerdeführerin, welche ausdrücklich die Durchführung eines Asylver- fahrens beantragt, auf ein solches verzichtet. Es ist somit nicht gerechtfer- tigt, nach der Verweigerung vorübergehenden Schutzes – welche ange- sichts der obenstehenden Erwägungen zu bestätigen ist (vgl. E. 6) – direkt zum Wegweisungsverfahren überzugehen. Vielmehr ist erforderlich, dass zunächst ein Asylverfahren mit einer Anhörung gemäss Art. 29 AsylG durchgeführt wird.</w:t>
      </w:r>
    </w:p>
    <w:p>
      <w:r>
        <w:rPr>
          <w:b/>
        </w:rPr>
        <w:t>E. 7.7</w:t>
      </w:r>
    </w:p>
    <w:p>
      <w:r>
        <w:t>Die Beschwerde ist somit gutzuheissen, soweit darin die Aufhebung der angefochtenen Verfügung und die Rückweisung der Sache an die Vor- instanz zur Durchführung eines Asylverfahrens beantragt wird. Die Dispo- sitivziffern 2, 3 und 5 der Verfügung vom 21. Dezember 2023 sind aufzu- heben und die Sache ist gestützt auf Art. 61 Abs. 1 VwVG zur Fortsetzung als ordentliches Asylverfahren im Sinne der Erwägungen an das SEM zu- rückzuweisen. Hierfür sind der Vorinstanz die Akten zu überweisen.</w:t>
      </w:r>
    </w:p>
    <w:p>
      <w:r>
        <w:rPr>
          <w:b/>
        </w:rPr>
        <w:t>E. 8</w:t>
      </w:r>
    </w:p>
    <w:p>
      <w:r>
        <w:t>Bei diesem Ausgang des Verfahrens sind keine Kosten aufzuerlegen (Art. 63 Abs. 1 und 2 VwVG).</w:t>
      </w:r>
    </w:p>
    <w:p>
      <w:r>
        <w:t>D-393/2024 Seite 13 Die Beschwerdeinstanz kann der ganz oder teilweise obsiegenden Partei eine Entschädigung für ihr durch die Vertretung vor Gericht erwachsene notwendige und verhältnismässig hohe Kosten zusprechen (Art. 64 Abs. 1 VwVG). Da die Beschwerdeführerin vor Bundesverwaltungsgericht nicht vertreten war, ist nicht davon auszugehen, dass ihr massgebliche Kosten entstanden sind, weshalb keine Parteientschädigung zuzusprechen ist.</w:t>
      </w:r>
    </w:p>
    <w:p>
      <w:r>
        <w:t>(Dispositiv nächste Seite)</w:t>
      </w:r>
    </w:p>
    <w:p>
      <w:r>
        <w:t>D-393/2024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