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D-3938/2024 vom 30. Juli 2024</w:t>
      </w:r>
    </w:p>
    <w:p>
      <w:r>
        <w:t>Bundesverwaltungsgericht, 2024-07-30, DE</w:t>
      </w:r>
    </w:p>
    <w:p>
      <w:r>
        <w:rPr>
          <w:b/>
        </w:rPr>
        <w:t xml:space="preserve">Quelle: </w:t>
      </w:r>
      <w:r>
        <w:t>https://mcp.opencaselaw.ch/entscheid/bvger_D-3938_2024</w:t>
      </w:r>
    </w:p>
    <w:p>
      <w:r>
        <w:t>FR: TAF D-3938/2024 du 30 juillet 2024</w:t>
      </w:r>
    </w:p>
    <w:p>
      <w:r>
        <w:t>IT: TAF D-3938/2024 del 30 luglio 2024</w:t>
      </w:r>
    </w:p>
    <w:p>
      <w:pPr>
        <w:pStyle w:val="Heading2"/>
      </w:pPr>
      <w:r>
        <w:t>Regeste</w:t>
      </w:r>
    </w:p>
    <w:p>
      <w:r>
        <w:t>Asyl und Wegweisung (beschleunigtes Verfahren)</w:t>
      </w:r>
    </w:p>
    <w:p>
      <w:pPr>
        <w:pStyle w:val="Heading2"/>
      </w:pPr>
      <w:r>
        <w:t>Erwägungen</w:t>
      </w:r>
    </w:p>
    <w:p>
      <w:r>
        <w:rPr>
          <w:b/>
        </w:rPr>
        <w:t>E. 1</w:t>
      </w:r>
    </w:p>
    <w:p>
      <w:r>
        <w:t>Das Bundesverwaltungsgericht ist unter anderem zuständig für die Be- handlung von Beschwerden gegen Verfügungen des SEM; dabei entschei- det es auf dem Gebiet des Asyls in der Regel – so auch hier – endgültig (vgl. dazu Art. 105 AsylG i.V.m. Art. 31–33 VGG und Art. 83 Bst. d Ziff. 1</w:t>
      </w:r>
    </w:p>
    <w:p>
      <w:r>
        <w:t>D-3938/2024 Seite 6 BGG). Das Verfahren richtet sich nach dem VwVG und dem VGG, soweit das AsylG nichts anderes bestimmt (Art. 37 VGG und Art. 6 AsylG). Der Beschwerdeführer ist als Verfügungsadressat zur Beschwerdeführung legi- timiert (Art. 48 Abs. 1 VwVG). Die Beschwerde ist frist- und formgerecht eingereicht worden (Art. 108 Abs. 1 AsylG und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hier um ein solches Rechtsmittel, weshalb das Urteil nur summarisch zu begründen ist. Auf einen Schriften- wechsel wurde verzichtet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D-3938/2024 Seite 7</w:t>
      </w:r>
    </w:p>
    <w:p>
      <w:r>
        <w:rPr>
          <w:b/>
        </w:rPr>
        <w:t>E. 5.1</w:t>
      </w:r>
    </w:p>
    <w:p>
      <w:r>
        <w:t>Das SEM führte zur Begründung seines Entscheids im Asylpunkt aus, das Vorbringen, wonach der Beschwerdeführer nach dem Tod seines Va- ters erneut einer Bedrohungssituation ausgesetzt gewesen sei, sei un- glaubhaft. Seine geschilderte Verhaltensweise sei nicht logisch und wider- spreche der allgemeinen Lebenserfahrung sowie der Logik des Handelns. So habe sich der Beschwerdeführer, nachdem er zu seinem Freund nach F._______ geflohen sei, wo ihm abgesehen von Drohungen per Whatsapp nichts zugestossen sei, ausgerechnet ins Haus seines verstorbenen Vaters in dessen Heimatprovinz begeben. Wer sich vor der Polizei oder Milizen verstecken wolle, begebe sich aber gemeinhin nicht ausgerechnet an ei- nen Ort, an dem ihm mit beachtlicher Wahrscheinlichkeit ebenfalls Verfol- gung drohe. Nachdem ihm der Zufluchtsort bei seinem Vater über einige Monate ein im Wesentlichen ungestörtes Leben ermöglicht habe, sei noch weniger zu erwarten, dass er ausgerechnet ins Familienhaus in E._______ zurückkehre, von wo er ursprünglich aus Todesangst geflohen sei und wo in regelmässigen Abständen weiterhin Hausdurchsuchungen stattgefun- den hätten. Dies erstaune umso mehr, als ihm der Pass beschafft worden sei und er somit wahrscheinlich gar nicht hätte zurückkehren müssen. Wei- ter erscheine nicht wahrscheinlich, dass er von der Möglichkeit der visums- freien Ausreise nach Serbien erst im Gespräch mit Freunden in G._______ erfahren habe. Hinsichtlich der weiteren Vorbringen (insbesondere zu sei- ner Eigenschaft als früherer Wahlhelfer und zu seiner Gefangenschaft) könne auf eine vertiefte Glaubhaftigkeitsprüfung verzichtet werden, da diese Vorbringen asylrechtlich nicht relevant seien. Es sei aufgrund der Ak- tenlage davon auszugehen, dass mit der Haftentlassung die Bedrohungs- situation zu einem Ende gekommen sei und seitens der Polizei und lmbonerakure auch kein Interesse mehr an seiner Ergreifung bestanden habe. Das Asylrecht diene nicht dazu, in der Vergangenheit erlittenes Un- recht wiedergutzumachen. Die Gefahr einer Reflexverfolgung aufgrund seines Vaters könne ebenfalls ausgeschlossen werden, weil sein Vater seit dessen Haftentlassung im Jahr (…) bis zu seinem Tod am (…) keiner Ver- folgung ausgesetzt gewesen sei. Der Beschwerdeführer verfüge als an- gebliches Mitglied des CNL zwar grundsätzlich über ein Risikoprofil, als einfaches Mitglied und einmaliger Wahlhelfer sei dieses aber nur minimal ausgeprägt. Hinzu komme, dass er und seine Familie über ein ausgepräg- tes Beziehungsnetz zu Offizieren der Streitkräfte verfügen würden, wel- ches ihn bereits unterstützt habe, was das Risikoprofil weiter schmälere. Zudem habe er vor der Ausreise die reguläre Passkontrolle des heimatli- chen Flughafens durchlaufen, was ebenfalls gegen ein Verfolgungsinte- resse staatlicher Akteure spreche. Mangels anderslautender Hinweise sei</w:t>
      </w:r>
    </w:p>
    <w:p>
      <w:r>
        <w:t>D-3938/2024 Seite 8 deshalb nicht davon auszugehen, dass es mit beachtlicher Wahrschein- lichkeit wieder zu Verfolgungshandlungen gegen den Beschwerdeführer kommen werde.</w:t>
      </w:r>
    </w:p>
    <w:p>
      <w:r>
        <w:rPr>
          <w:b/>
        </w:rPr>
        <w:t>E. 5.2</w:t>
      </w:r>
    </w:p>
    <w:p>
      <w:r>
        <w:t>In der Beschwerde wird entgegnet, die Vorinstanz stütze sich nur auf einige wenige, oberflächliche Elemente aus der Anhörung des Beschwer- deführers, um seine Aussagen als unglaubhaft zu qualifizieren. Soweit die Vorinstanz die Rückkehr des Beschwerdeführers nach E._______ anpran- gere, irre sie sich in ihren Überlegungen. Der Beschwerdeführer habe sich persönlich mit den Bekannten seines Vaters, die sich in E._______ aufge- halten hätten, treffen müssen, um einen Pass zu erhalten. Zudem habe er weitere Dokumente (Covid-Zertifikat und Impfpass) benötigt, um auszurei- sen, diese habe er nur in E._______ erhalten. Zudem erscheine ein Zeit- raum von etwa (…) Monaten nicht übermässig lang, um alle diese Doku- mente zu erhalten. Weiter habe sich der Beschwerdeführer in Gefahr ge- wusst und sich daher fast nie zu Hause aufgehalten. Darüber hinaus wür- den in der Stadt E._______ mehr als (…) Menschen leben, so dass er ins- gesamt kein unbedachtes Risiko eingegangen sei. Soweit ihm die Vo- rinstanz vorwerfe, dass er früher um die Möglichkeit der visumsfreien Aus- reise nach Serbien hätte wissen müssen, sei festzuhalten, dass es schwie- rig sei, den Zeitpunkt nachzuweisen, zu dem eine Person in Burundi von bestimmten Informationen hätte wissen können. Obwohl es wahrscheinlich sei, dass er diese Informationen früher hätte wissen können, bedeute dies noch nicht, dass er lüge oder seine Aussagen unglaubhaft seien. Allein ge- stützt auf diese Elemente von der Unglaubhaftigkeit seiner Aussagen aus- zugehen, sei nicht haltbar. Dies sei letztlich nur marginal im Vergleich zu den inhaltlichen Aussagen des Beschwerdeführers, die detailliert, kohärent und durch die politischen Ereignisse untermauert und insgesamt als glaub- haft zu betrachten seien. Weiter würden die Erwägungen der Vorinstanz, wonach keine Gefahr vor zukünftiger Verfolgung bestehe, weil seit der Haftentlassung am (…) und der Ausreise nichts Wesentliches passiert sei, nicht zutreffen. Es sei offensichtlich, dass der Beschwerdeführer die Vo- raussetzungen von Art. 3 AsylG in der Vergangenheit, gegenwärtig und in der Zukunft erfülle. Er sei in seinem Herkunftsland aufgrund seiner politi- schen Ansichten und seiner Ethnie ernsthaften Nachteilen ausgesetzt. Durch seine Mitgliedschaft bei der CNL habe er seine politische Meinung gegenüber der Regierung sichtbar gemacht respektive Kritik an der Regie- rung geübt, da die CNL die wichtigste Oppositionspartei sei. Bereits 2019 sei von gewaltsamen Repressionen gegen "tatsächliche oder vermeintli- che" politische Gegner in Burundi berichtet worden. Allein der Umstand, sich auf diese Weise als Mitglied der Opposition sichtbar zu machen, könne</w:t>
      </w:r>
    </w:p>
    <w:p>
      <w:r>
        <w:t>D-3938/2024 Seite 9 dazu führen, als Feind der Regierung angesehen zu werden. Es seien die politischen Ansichten des Beschwerdeführers gewesen, die zu seiner will- kürlichen Inhaftierung als (…), zu wiederholten Hausdurchsuchungen und zahlreichen Drohbriefen geführt hätten. Er habe während seiner willkürli- chen Inhaftierung erheblichen körperlichen Schaden erlitten. Der Be- schwerdeführer sei mehrfach bedroht worden, was auf die Gefahr hin- deute, dass er erneut derartigen Behandlungen ausgesetzt werde. Das Fehlen neuer wesentlicher Vorfälle zwischen (…) und (…) könne dadurch erklärt werden, dass der Beschwerdeführer untergetaucht sei. Die Bedro- hung sei noch aktuell, da seine Wohnung im (…), also fast (…) Jahre nach seiner Ausreise, erneut durchsucht worden sei. Darüber hinaus hätten die wiederholten Hausdurchsuchungen und die ständigen Drohbotschaften zu einem erheblichen psychologischen Druck geführt und seine psychische Integrität beeinträchtigt. Es sei auch nicht die Aufgabe der Freunde seines Vaters, den Beschwerdeführer zu schützen. Eine mögliche Hilfe von ihnen bleibe zufällig. Ein solches Netzwerk könne in keinem Fall das Risikoprofil des Beschwerdeführers verringern. Weiter sei zwar klar, dass die Unter- drückung prominenter Mitglieder der CNL systematischer, gezielter und ge- walttätiger sei, aber auch einfache Mitglieder der CNL würden verfolgt. Die Vorinstanz berücksichtige zudem nicht, dass das Risikoprofil des Be- schwerdeführers nicht nur auf seiner politischen Zugehörigkeit zur CNL be- ruhe, sondern auch auf seiner Ethnie. Die aktuelle Regierungspartei halte Hassreden gegen die Tutsi. Die Zugehörigkeit seines Vaters zu Ex-FAB falle in diese Kategorie, da die burundischen Streitkräfte im Bürgerkrieg 1993 im Rahmen eines ethnischen Konflikts gegen Hutu vorgegangen seien. In Anbetracht der gegenwärtigen und zukünftigen Situation in Bu- rundi gehe es für den Beschwerdeführer nicht nur darum, vergangene Un- gerechtigkeiten zu beheben. Im Jahr 2025 würden Wahlen stattfinden, weshalb die Spannungen innerhalb des Landes zunehmen werde. Die grösste Oppositionspartei, die CNL, sei das erste Ziel der Repressionen. Der Beschwerdeführer sei insgesamt eine besonders gefährdete Person in Burundi. Dies gehe auch aus dem Unterstützungsschreiben des Gemein- depräsidenten der Gemeinde H._______ hervor.</w:t>
      </w:r>
    </w:p>
    <w:p>
      <w:r>
        <w:rPr>
          <w:b/>
        </w:rPr>
        <w:t>E. 6.1</w:t>
      </w:r>
    </w:p>
    <w:p>
      <w:r>
        <w:t>Es ist bekannt, dass es in Burundi zu politischer Verfolgung und Men- schenrechtsverletzungen kommt, wobei hauptsächlich Mitglieder von Op- positionsparteien, Menschenrechtsverteidiger und -verteidigerinnen und regierungskritische Personen betroffen sind. Nach der Rechtsprechung des Bundesverwaltungsgerichts gibt es dagegen keine kollektive Verfol- gung von Tutsi in Burundi. Opfer von Verfolgung werden nicht in erster Linie</w:t>
      </w:r>
    </w:p>
    <w:p>
      <w:r>
        <w:t>D-3938/2024 Seite 10 aufgrund ihrer ethnischen Zugehörigkeit, sondern aus politischen Gründen ins Visier genommen (vgl. u.a. Urteile des BVGer E-3021/2023 vom 29. November 2023 E. 4.1.1 und D-2769/2024 vom 28. Mai 2024).</w:t>
      </w:r>
    </w:p>
    <w:p>
      <w:r>
        <w:rPr>
          <w:b/>
        </w:rPr>
        <w:t>E. 6.2</w:t>
      </w:r>
    </w:p>
    <w:p>
      <w:r>
        <w:t>Es ist zwar nicht auszuschliessen, dass der Beschwerdeführer als Tutsi und Mitglied der CNL, die einmal als (…) tätig war, sowie als Sohn eines Ex-FAB bei Wahrunterstellung über ein – geringes – Risikoprofil verfügt (vgl. auch Urteil des BVGer E-6943/2023 vom 26. Februar 2024 E. 3.2.4). Die Vorinstanz hat aber zutreffend festgehalten, dass jedenfalls die Be- hauptung des Beschwerdeführers, er sei deswegen nach dem Tod seines Vaters am (…) (erneut) durch die Polizei und die Imbonerakure verfolgt worden (Hausdurchsuchungen und Drohungen), nicht glaubhaft ist.</w:t>
      </w:r>
    </w:p>
    <w:p>
      <w:r>
        <w:rPr>
          <w:b/>
        </w:rPr>
        <w:t>E. 6.3</w:t>
      </w:r>
    </w:p>
    <w:p>
      <w:r>
        <w:t>So erstaunt, dass der Beschwerdeführer vorbringt, die Hausdurchsu- chungen seien unter anderen im Zusammenhang mit der ehemaligen Tä- tigkeit seines Vaters bei der Ex-FAB und der Suche nach Waffen erfolgt (vgl. act. SEM 1217384-17/20 F106), der Beschwerdeführer aber ausge- rechnet im Haus seines Vaters an dessen Heimatort, obwohl sein Vater bereits früher beschuldigt worden ist, unerlaubte Waffen zu besitzen (vgl. act. SEM 1217384-17/20 F125), Schutz gesucht hat. Darüber hinaus ist er später, zwei Monate vor seiner Ausreise, in das Familienhaus in E._______ zurückgekehrt und hat dort gelebt, obwohl seinen Angaben zufolge nach wie vor Hausdurchsuchungen stattgefunden haben sollen (vgl. act. SEM 1217384-17/20 F122). Es ist nicht plausibel und daher nicht glaubhaft, dass der Beschwerdeführer verfolgt worden ist und um sein Leben gefürch- tet hat, sich aber ausgerechnet an diesen Orten versteckt hielt. An dieser Einschätzung vermögen die Einwände in der Beschwerde, er habe sich fast nie zu Hause aufgehalten und habe für die Beschaffung von Dokumen- ten zurückgehen müssen, weshalb er das Risiko auf sich genommen habe, nichts zu ändern. Hinzu kommt, dass der Beschwerdeführer während den (…) respektive (…) Monaten im Haus seines Vaters respektive in seinem Familienhaus keine Nachteile erlitten hat und er legal über den Flughafen mit seinem Reisepass ausreisen konnte (vgl. act. SEM 1217384-17/20 F50 ff.). Wäre er tatsächlich entsprechend seinem Vorbringen verfolgt res- pektive gesucht worden, hätte er wohl kaum legal ausreisen können und hätten ihn die Polizei und Imbonerakure im Haus seines Vaters gesucht und wohl auch gefunden. Im Übrigen kann auf die diesbezüglichen zutref- fenden Ausführungen im Entscheid des SEM verwiesen werden (vgl. an- gefochtene Verfügung Ziff. II/1).</w:t>
      </w:r>
    </w:p>
    <w:p>
      <w:r>
        <w:t>D-3938/2024 Seite 11</w:t>
      </w:r>
    </w:p>
    <w:p>
      <w:r>
        <w:rPr>
          <w:b/>
        </w:rPr>
        <w:t>E. 6.4</w:t>
      </w:r>
    </w:p>
    <w:p>
      <w:r>
        <w:t>Insgesamt ist davon auszugehen, dass die Haft des Beschwerdefüh- rers – bei deren Wahrunterstellung – eine einmalige Massnahme aufgrund seiner einmaligen Tätigkeit als (…) war und er durch die Hilfe seiner Be- kannten am (…) ohne weitere Konsequenzen entlassen worden ist – was der Beschwerdeführer auch nicht bestreitet (vgl. act. SEM 1217384-17/20 F104 f.) – und es auch nach dem Tod seines Vaters am (…) nicht zu er- neuten Behelligungen gekommen ist. Der Beschwerdeführer hat folglich nach seiner Haft über (…) Jahre weiter in Burundi gelebt, ohne dass er erneute Nachteile erlitten hätte oder solche hätte befürchten müssen. Folg- lich ist es dem Beschwerdeführer nicht gelungen, eine im Zeitpunkt seiner Ausreise aus Burundi bestehende oder unmittelbar drohende Verfolgung glaubhaft zu machen. Zudem ist vor diesem Hintergrund trotz seines – ge- ringen – Risikoprofils auch seine Furcht, bei einer Rückkehr nach Burundi mit beachtlicher Wahrscheinlichkeit und in absehbarer Zukunft asylrelevant verfolgt zu werden, nicht begründet.</w:t>
      </w:r>
    </w:p>
    <w:p>
      <w:r>
        <w:rPr>
          <w:b/>
        </w:rPr>
        <w:t>E. 6.5</w:t>
      </w:r>
    </w:p>
    <w:p>
      <w:r>
        <w:t>Die Haft als solche ist vor diesem Hintergrund – unabhängig von deren Glaubhaftigkeit – nicht asylrelevant.</w:t>
      </w:r>
    </w:p>
    <w:p>
      <w:r>
        <w:rPr>
          <w:b/>
        </w:rPr>
        <w:t>E. 6.6</w:t>
      </w:r>
    </w:p>
    <w:p>
      <w:r>
        <w:t>Nach dem Gesagten hat die Vorinstanz zu Recht die Flüchtlingseigen- 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hat den Wegweisungsvollzug jedoch zu Recht als zu- lässig, zumutbar und möglich erkannt. Es kann hierzu auf die zu bestäti- genden Ausführungen des SEM in der angefochtenen Verfügung (vgl.</w:t>
      </w:r>
    </w:p>
    <w:p>
      <w:r>
        <w:t>D-3938/2024 Seite 12 angefochtene Verfügung Ziff. III) verwiesen werden, zumal diesen in der Beschwerde nichts entgegengehalten wird; der Beschwerdeführer äus- serte sich in der Beschwerde nicht zum Wegweisungsvollzug. Das SEM hat zutreffend festgehalten, dass der Grundsatz der Nichtrückschiebung gemäss Art. 5 Abs. 1 AsylG nicht angewandt werden kann und sich aus den Akten keine Anhaltspunkte dafür ergeben, dass ihm im Falle einer Rückkehr in den Heimatstaat mit beachtlicher Wahrscheinlichkeit eine durch Art. 3 EMRK verbotene Strafe oder Behandlung droht. Ferner spre- chen weder die in Burundi herrschende politische Situation noch andere Gründe gegen die Zumutbarkeit des Wegweisungsvollzugs. Der Be- schwerdeführer ist jung, im Wesentlichen gesund, verfügt über Schulbil- dung und hat bereits vor seiner Ausreise gearbeitet. Es ist davon auszuge- hen, dass er entweder sein Studium fortsetzen oder sich auf dem Arbeits- markt behaupten kann. Zudem kann ihn seine Mutter, zu der er in Kontakt steht, bei der Reintegration unterstützen. Weiter ist der Vollzug der Weg- weisung technisch möglich und praktisch durchführbar.</w:t>
      </w:r>
    </w:p>
    <w:p>
      <w:r>
        <w:rPr>
          <w:b/>
        </w:rPr>
        <w:t>E. 8.3</w:t>
      </w:r>
    </w:p>
    <w:p>
      <w:r>
        <w:t>Der Vollzug der Wegweisung ist nach dem Gesagten als zulässig, zu- mutbar und möglich zu bezeichnen. Eine Anordnung der vorläufigen Auf- nahme fällt somit ausser Betracht (Art. 83 Abs. 1–4 AIG). An diesen Fest- stellungen vermag auch das mit der Beschwerde eingereichten Unter- stützungsschreiben eines Gemeindepräsidenten nichts zu ändern.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Abs. 1 Bst. a AsylG) sind abzuweisen, da die Beschwerdebegehren – wie sich aus den vorstehenden Erwägungen ergibt – als aussichtslos zu be- zeichnen waren.</w:t>
      </w:r>
    </w:p>
    <w:p>
      <w:r>
        <w:rPr>
          <w:b/>
        </w:rPr>
        <w:t>E. 10.3</w:t>
      </w:r>
    </w:p>
    <w:p>
      <w:r>
        <w:t>Bei diesem Ausgang des Verfahrens sind die Kosten dem Beschwer- deführer aufzuerlegen (Art. 63 Abs. 1 VwVG) und auf insgesamt Fr. 750.–</w:t>
      </w:r>
    </w:p>
    <w:p>
      <w:r>
        <w:t>D-3938/2024 Seite 13 festzusetzen (Art. 1–3 des Reglements vom 21. Februar 2008 über die Kosten und Entschädigungen vor dem Bundesverwaltungsgericht [VGKE, SR 173.320.2]). (Dispositiv nächste Seite)</w:t>
      </w:r>
    </w:p>
    <w:p>
      <w:r>
        <w:t>D-3938/2024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