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D-3930/2024 vom 27. Juni 2024</w:t>
      </w:r>
    </w:p>
    <w:p>
      <w:r>
        <w:t>Bundesverwaltungsgericht, 2024-06-27, DE</w:t>
      </w:r>
    </w:p>
    <w:p>
      <w:r>
        <w:rPr>
          <w:b/>
        </w:rPr>
        <w:t xml:space="preserve">Quelle: </w:t>
      </w:r>
      <w:r>
        <w:t>https://mcp.opencaselaw.ch/entscheid/bvger_D-3930_2024</w:t>
      </w:r>
    </w:p>
    <w:p>
      <w:r>
        <w:t>FR: TAF D-3930/2024 du 27 juin 2024</w:t>
      </w:r>
    </w:p>
    <w:p>
      <w:r>
        <w:t>IT: TAF D-3930/2024 del 27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 Die Beschwerdeführenden verfügen über Visa in Deutschland, die am 7. Januar 2024 und damit nicht vor mehr als sechs Monaten abgelaufen sind (A33/3, A40/3). Nachdem die deutschen Behörden dem Übernahmeersuchen der Vorinstanz gestützt auf Art. 12 Abs. 4 Dublin-III-VO fristgerecht am 4. Juni 2024 zugestimmt haben, steht die grundsätzliche Zuständigkeit Deutschlands gemäss Art. 22 Abs. 7 Dublin-III-VO fest (A46/3, A47/3). Der Einwand der Beschwerdeführenden, wegen des in der Schweiz lebenden Bruders nicht nach Deutschland zu wollen, ändert nichts an der festgestellten grundsätzlichen Zuständigkeit Deutschlands, räumt doch die Dublin-III-Verordnung den Schutzsuchenden kein Recht ein, den ihren Antrag prüfenden Staat selbst auszuwählen.</w:t>
      </w:r>
    </w:p>
    <w:p>
      <w:r>
        <w:rPr>
          <w:b/>
        </w:rPr>
        <w:t>E. 4.4</w:t>
      </w:r>
    </w:p>
    <w:p>
      <w:r>
        <w:t>Die grundsätzliche Zuständigkeit des deutschen Staates wird so weit nicht explizit bestritten, jedoch wollen die Beschwerdeführenden die Zuständigkeit der Schweiz aus Art. 8 Absatz 1 Dublin-III-VO (unbegleitete Minderjährige mit Geschwistern im Gesuchsstaat) für den Beschwerdeführer ableiten. Der minderjährige Beschwerdeführer war stets in Begleitung eines volljährigen Familienmitgliedes (Schwester) beziehungsweise der Beschwerdeführerin, welcher er seinem Vernehmen nach besonders nahesteht, weshalb es sich bei ihm nicht um einen unbegleiteten Minderjährigen handelt, Art. 8 Dublin-III-VO folglich auf ihn nicht anwendbar ist. Dessen ungeachtet, kann er mit seiner Schwester nach Deutschland weiterreisen, so dass die Zuständigkeitsnorm von Art. 8 Dublin-III-VO auch aus diesem Grund nicht greifen würde. Soweit die Beschwerdeführenden geltend machen, die (alleinige) Wegweisung der Schwester sei aufgrund des unbestrittenen, besonderen Abhängigkeitsverhältnisses nicht zulässig (Beschwerde, S. 6), zielt auch diese Argumentation ins Leere, da die Vorinstanz die Verbindung der Geschwister eben gerade schützt, ihre Dossiers zusammenlegte (A55/2) und die Zustimmung Deutschlands alsdann im Sinne von Art. 11 Dublin-III-VO (Familienverfahren; vgl. A46/3, A47/3) erfolgte. Eine Trennung der Geschwister durch eine Wegweisung ist nicht Gegenstand des Verfahrens. Damit erübrigen sich auch Erwägungen zur diesbezüglich in der Beschwerde geltend gemachten möglichen Verletzung des Kindeswohls.</w:t>
      </w:r>
    </w:p>
    <w:p>
      <w:r>
        <w:rPr>
          <w:b/>
        </w:rPr>
        <w:t>E. 4.5</w:t>
      </w:r>
    </w:p>
    <w:p>
      <w:r>
        <w:t>Da Art. 8 Abs. 1 Dublin-III.VO nicht einschlägig ist, hat die Vorinstanz zu Recht darauf hingewiesen, dass es sich beim in der Schweiz lebenden erwachsenen (angeblichen) Bruder der Beschwerdeführenden nicht um einen Familienangehörigen im Sinne der Legaldefinition von Art. 2 Bst. g Dublin-III VO handelt, und ist zutreffend zum Schluss gelangt, selbst bei bestehender Verwandtschaft bestünden ihrerseits keine Hinweise auf ein Abhängigkeitsverhältnis im Sinne von Art. 16 Abs. 1 Dublin-III VO (vi-Entscheid, S. 5 f.). Es lässt sich kein Zuständigkeitskriterium aus seiner Anwesenheit in der Schweiz ableiten. Damit steht die staatsvertragliche Zuständigkeit Deutschlands zur Durchführung des Asyl- und Wegweisungsverfahrens weiterhin grundsätzlich fest.</w:t>
      </w:r>
    </w:p>
    <w:p>
      <w:r>
        <w:rPr>
          <w:b/>
        </w:rPr>
        <w:t>E. 4.6.1</w:t>
      </w:r>
    </w:p>
    <w:p>
      <w:r>
        <w:t>Vor diesem Hintergrund erweisen sich die formellen Rügen einer unvollständigen Sachverhaltsfeststellung und Verletzung des rechtlichen Gehörs als unbegründet. Aus vorstehenden Erwägungen, wie auch aus der angefochtenen Verfügung selbst, ist ersichtlich, dass sich das SEM mit hinreichender Begründung mit den entscheidwesentlichen Sachverhaltselementen und den im vorinstanzlichen Verfahren vorgebrachten Argumenten der Beschwerdeführenden auseinandergesetzt hat. Aus der Rüge einer fehlenden Anhörung vor der positiven Umsetzung der Vorinstanz von den (von den Beschwerdeführenden) selbst vorgebrachten Anliegen ist nichts zu ihren Gunsten abzuleiten. Es kann der Vorinstanz angesichts der mehrfachen diesbezüglichen Vorbringen (A24/1; A25/1; A38/10, Ziff. 9.01; Beschwerde, S. 3 und 5 f.) nicht vorgeworfen werden, dass sie die Dossiers zusammengeführt und die Beschwerdeführenden als Familieneinheit betrachtet hat. Der Beschwerdeführer fühlt sich gemäss eigenen Angaben von seiner Schwester beschützt, sie seien zusammen aufgewachsen, sie sei immer an seiner Seite gewesen und er wolle nicht von ihr getrennt werden (A38/10, Ziff. 5.01). Bei der Behandlung als Familieneinheit besteht unbestritten ein schützenswertes Interesse der Beschwerdeführenden. Aus dem Vorbringen einer (ungewollten faktischen) Sorgerechtsübernahme der volljährigen Beschwerdeführerin kann demnach nichts zu ihren Gunsten abgeleitet werden, zumal sie kein Sorgerecht für den Beschwerdeführer innehat. Demgemäss ist das Eventualbegehren um Rückweisung der Sache zur vollständigen Abklärung des Sachverhaltes und zur Neubeurteilung an die Vorinstanz abzuweisen.</w:t>
      </w:r>
    </w:p>
    <w:p>
      <w:r>
        <w:rPr>
          <w:b/>
        </w:rPr>
        <w:t>E. 4.6.2</w:t>
      </w:r>
    </w:p>
    <w:p>
      <w:r>
        <w:t>Aufgrund des Gesagten ist auch der verfahrensrechtliche Antrag auf Trennung der Verfahrensdossiers abzuweisen.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Es gibt keine Gründe für die Annahme, das deutsche Asylverfahren und die Aufnahmebedingungen würden systemische Schwachstellen im Sinne von Art. 3 Abs. 2 Sätze 2 und 3 Dublin-III-VO aufweisen (vgl. anstelle vieler: Urteile des BVGer D-3964/2024 vom 19. Juli 2023 E. 7.3 und E-3051/2023 vom 1. Juni 2023 E. 6.2). Solche wurden von den Beschwerdeführenden auch nicht geltend gemacht. Die staatsvertragliche Zuständigkeit Deutschlands bleibt bestehen.</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5.3</w:t>
      </w:r>
    </w:p>
    <w:p>
      <w:r>
        <w:t>Da es sich, wie oben gesehen (E.4.4), beim Beschwerdeführer nicht um einen UMA handelt, sind seine diesbezüglichen Ausführungen zu Dokumenten etc. unerheblich.</w:t>
      </w:r>
    </w:p>
    <w:p>
      <w:r>
        <w:rPr>
          <w:b/>
        </w:rPr>
        <w:t>E. 5.4</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es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5.5</w:t>
      </w:r>
    </w:p>
    <w:p>
      <w:r>
        <w:t>Die Beschwerdeführenden haben kein konkretes und ernsthaftes Risiko dargetan, die deutschen Behörden würden sich weigern, sie wieder 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Es gibt keinen Grund zur Annahme, die Überstellung der Beschwerdeführenden nach Deutschland würde zu einer Verletzung von Art. 3 EMRK führen oder Deutschland würde ihnen dauerhaft die ihnen gemäss Aufnahmerichtlinie zustehenden minimalen Lebensbedingungen vorenthalten. Bei allfälligen Problemen können sie sich im funktionierenden Rechtsstaat Deutschlands an die dortigen Behörden wenden (vgl. Art. 26 Aufnahmerichtlinie).</w:t>
      </w:r>
    </w:p>
    <w:p>
      <w:r>
        <w:rPr>
          <w:b/>
        </w:rPr>
        <w:t>E. 5.6</w:t>
      </w:r>
    </w:p>
    <w:p>
      <w:r>
        <w:t>In gesundheitlicher Hinsicht geht aus den Akten die Bestätigung der Angaben der Beschwerdeführenden in ihren Anhörungen hervor. Gemäss den Arztberichten vom 13. Mai 2024 und 17. Mai 2024 ist die Beschwerdeführerin nebst den medikamentös behandelten Unterleibsbeschwerden gesund und es sind ausser für Impfungen keine ärztlichen Termine ausstehend (A49/2, A50/2, 51/2). Der Beschwerdeführer ist ebenfalls gesund und erhält eine Brille; wegen des Todes seiner Mutter leidet er an Albträumen, weshalb ein Termin beim Kinder- und Jugendpsychiatrischen Dienst geplant sei (Augenarztbericht vom 29. April 2024, Arztbericht vom 13. Mai 2024; A49/2; A48/3). Mit der zwangsweisen Rückweisung der Beschwerdeführenden ist offenkundig kein Verstoss gegen Art. 3 EMRK ersichtlich (vgl. dazu BVGE 2011/9 E. 7 mit Hinweisen auf die damalige Praxis des Europäischen Gerichtshofs für Menschenrechte [EGMR]), insbesondre handelt sich bei ihnen auch nicht um Schwerkranke, die durch die Abschiebung mit einem «real risk» konfrontiert würden (vgl. dazu Urteil des EGMR Paposhvili gegen Belgien vom 13. Dezember 2016, Grosse Kammer 41738/10, §§ 180-193 m.w.H.). Ferner ist darauf hinzuweisen, dass Deutschland über eine ausreichende medizinische Infrastruktur, auch für allfällige psychische Leiden, verfügt und es keinen Grund zur Annahme gibt, den Beschwerdeführenden würde dort eine allfällig notwendige medizinische Abklärung und/oder Behandlung verweigert (vgl. auch Art. 19 Abs. 1 Aufnahmerichtlinie).</w:t>
      </w:r>
    </w:p>
    <w:p>
      <w:r>
        <w:rPr>
          <w:b/>
        </w:rPr>
        <w:t>E. 5.7</w:t>
      </w:r>
    </w:p>
    <w:p>
      <w:r>
        <w:t>Gemäss Art. 8 Abs. 1 EMRK hat jede Person das Recht auf Achtung ihres Privat- und Familienlebens. Der Schutzbereich dieser Bestimmung umfasst dabei neben der Kernfamilie auch weitere verwandtschaftliche Bande. So kann die Beziehung zwischen den Beschwerdeführenden und dem mutmasslichen Bruder C._______ ebenfalls darunterfallen, sofern eine nahe, echte und tatsächlich gelebte Beziehung vorliegt. Nach der Rechtsprechung setzt dies indessen zusätzlich voraus, dass zwischen diesen Personen ein eigentliches Abhängigkeitsverhältnis besteht und, da kein gefestigtes Anwesenheitsverhältnis vorliegt, die privaten Interessen der Beschwerdeführenden die öffentlichen Interessen am Vollzug der Dublin-III VO überwiegen (vgl. zum Ganzen BVGE 2021 VI/1, E. 14-15.5). Ein solches ist weder aus den Akten noch aus den Angaben der Beschwerdeführenden ersichtlich. Das eingereichte Schreiben eines Rekurses vom 6. April 2023 im Auftrag von C._______ oder die Signalisation einer allfälligen Aufnahmebereitschaft mit handschriftlichem Brief begründet kein Abhängigkeitsverhältnis im genannten Sinne (vgl. Beschwerde, S. 3 ff., Beschwerdebeilagen 4 bis 6). Bis zur Einreise in die Schweiz haben sich die Geschwister viele Jahre nicht gesehen und keinen Kontakt gehabt (A38/10, Ziff. 3.02, 5.01). Zudem wollten die Beschwerdeführenden eigentlich zu einem anderen Bruder nach England und sind nur in die Schweiz gereist, weil dieser Plan scheiterte (A38/10, Ziff. 3.03, Ziff. 5.01). Es ist nicht ohne Weiteres von einer nahen, echten und tatsächlich gelebten Beziehung zwischen den Beschwerdeführenden und C._______ auszugehen. Ein eigentliches Abhängigkeitsverhältnis im Sinne der Rechtsprechung zu Art. 8 EMRK, das einer Überstellung nach Deutschland entgegenstehen würde, ist nicht ersichtlich. Es steht C._______ im Übrigen frei, die Beschwerdeführenden auch von der Schweiz aus zu unterstützen.</w:t>
      </w:r>
    </w:p>
    <w:p>
      <w:r>
        <w:rPr>
          <w:b/>
        </w:rPr>
        <w:t>E. 5.8</w:t>
      </w:r>
    </w:p>
    <w:p>
      <w:r>
        <w:t>Im Zusammenhang mit dem Kindeswohl ergeben sich weder aus den Akten noch aus der Beschwerde Hinweise auf eine mögliche Verletzung bei einem Wegweisungsvollzug nach Deutschland. Der Beschwerdeführer ist erst seit kurzem in der Schweiz (Asylgesuch vom 12. April 2024) und es ist auch in Berücksichtigung der Akten keine Verwurzelung anzunehmen. Mit den zutreffenden Erwägungen in der vorinstanzlichen Verfügung ist festzuhalten und auf diese zu verweisen (vi-Entscheid, S. 7 f.).</w:t>
      </w:r>
    </w:p>
    <w:p>
      <w:r>
        <w:rPr>
          <w:b/>
        </w:rPr>
        <w:t>E. 5.9</w:t>
      </w:r>
    </w:p>
    <w:p>
      <w:r>
        <w:t>Es ist festzuhalten, dass - entgegen der Behauptung in der Beschwerde -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Rechtsfehler bei der Ermessensbetätigung ersichtlich sind.</w:t>
      </w:r>
    </w:p>
    <w:p>
      <w:r>
        <w:rPr>
          <w:b/>
        </w:rPr>
        <w:t>E. 6</w:t>
      </w:r>
    </w:p>
    <w:p>
      <w:r>
        <w:t>Die Vorinstanz ist demnach zu Recht in Anwendung von Art. 31a Abs. 1 Bst. b AsylG auf das Asylgesuch der Beschwerdeführenden nicht eingetreten und hat - weil sie nicht im Besitz einer gültigen Aufenthalts- oder Niederlassungsbewilligung sind - in Anwendung von Art. 44 AsylG die Überstellung nach Deutschland angeordnet (Art. 32 Bst. a AsylV 1).</w:t>
      </w:r>
    </w:p>
    <w:p>
      <w:r>
        <w:rPr>
          <w:b/>
        </w:rPr>
        <w:t>E. 7</w:t>
      </w:r>
    </w:p>
    <w:p>
      <w:r>
        <w:t>Zusammenfassend ergibt sich somit, dass die angefochtene Verfügung Bundesrecht nicht verletzt und auch sonst nicht zu beanstanden ist. Die Beschwerde ist abzuweisen und die Verfügung der Vorinstanz zu bestätigen.</w:t>
      </w:r>
    </w:p>
    <w:p>
      <w:r>
        <w:rPr>
          <w:b/>
        </w:rPr>
        <w:t>E. 8</w:t>
      </w:r>
    </w:p>
    <w:p>
      <w:r>
        <w:t>Das Beschwerdeverfahren ist mit vorliegendem Urteil abgeschlossen, weshalb die verfahrensrechtlichen Anträge auf Gewährung der aufschiebenden Wirkung sowie um Befreiung von der Kostenvorschusspflicht gegenstandslos geworden sind. Der am 25. Juni 2024 angeordnete Vollzugsstopp fällt dahin.</w:t>
      </w:r>
    </w:p>
    <w:p>
      <w:r>
        <w:rPr>
          <w:b/>
        </w:rPr>
        <w:t>E. 9.1</w:t>
      </w:r>
    </w:p>
    <w:p>
      <w:r>
        <w:t>Das Gesuch um Gewährung der unentgeltlichen Prozessführung ist abzuweisen, da das Begehren - wie sich aus den vorstehenden Erwägungen ergibt - als aussichtslos zu bezeichnen ist.</w:t>
      </w:r>
    </w:p>
    <w:p>
      <w:r>
        <w:rPr>
          <w:b/>
        </w:rPr>
        <w:t>E. 9.2</w:t>
      </w:r>
    </w:p>
    <w:p>
      <w:r>
        <w:t>Entsprechend dem Ausgang des Verfahrens sind die Kosten den Beschwerdeführenden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