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D-3924/2008 vom 17. Juni 2008</w:t>
      </w:r>
    </w:p>
    <w:p>
      <w:r>
        <w:t>Bundesverwaltungsgericht, 2008-06-17, FR</w:t>
      </w:r>
    </w:p>
    <w:p>
      <w:r>
        <w:rPr>
          <w:b/>
        </w:rPr>
        <w:t xml:space="preserve">Quelle: </w:t>
      </w:r>
      <w:r>
        <w:t>https://mcp.opencaselaw.ch/entscheid/bvger_D-3924_2008</w:t>
      </w:r>
    </w:p>
    <w:p>
      <w:r>
        <w:t>FR: TAF D-3924/2008 du 17 juin 2008</w:t>
      </w:r>
    </w:p>
    <w:p>
      <w:r>
        <w:t>IT: TAF D-3924/2008 del 17 giugno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let. c PA, applicable par renvoi de l'art. 37 LTAF). Présenté dans la forme (cf. art. 52 PA) et le délai (cf. art. 108 al. 1 et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estime, à l'instar de l'autorité de première instance, que les motifs allégués par le recourant ne sont pas pertinents pour la reconnaissance de la qualité de réfugié et l'octroi de l'asile. En effet, d'une part, l'intéressé n'a pas subi de sérieux préjudices, au sens de l'art. 3 LAsi, durant son service militaire. La condamnation à vingt jours d'arrêts survenue en avril 2001, au motif que le recourant et une trentaine d'autres soldats auraient refusé de saluer le drapeau, constitue une mesure sanctionnant le comportement rebelle de militaires refusant de se conformer aux ordres de leur hiérarchie. Les éléments au dossier ne permettent pas de conclure que cette sanction aurait été prononcée sur la base de motifs tirés de l'art. 3 al. 1 LAsi, à savoir en raison de la race du recourant, de sa religion, de sa nationalité, de son appartenance à un groupe social déterminé ou de ses opinions politiques. En outre, s'il est vrai que les conditions de détention décrites par l'intéressé étaient dures, celui-ci n'a pas allégué qu'il avait été maltraité durant cette période, ni par la suite d'ailleurs (cf. pv de l'audition fédérale p. 5). D'autre part, le recourant ne saurait se prévaloir utilement d'une crainte fondée de persécution en cas de retour dans son pays d'origine, sur la base de sa désertion en janvier 2003. En effet, il convient de rappeler que, selon une jurisprudence constante développée par l'ancienne Commission suisse de recours en matière d'asile, qui conserve toute sa pertinence et que le Tribunal n'entend pas remettre en question, une éventuelle sanction pour insoumission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Jurisprudence et Informations de la Commission suisse de recours en matière d'asile [JICRA] 2004 n° 2 consid. 6b aa p. 16 s., ainsi que JICRA 2003 n° 8, JICRA 2002 n° 19 et JICRA 2001 n° 15). En l'espèce, il ne ressort pas du dossier que l'intéressé serait exposé à une peine plus sévère ou disproportionnée en raison de motifs tirés de l'art. 3 LAsi. Dans son recours, celui-ci a certes soutenu que tel serait le cas, en raison de son origine kabyle. Aucune des sources récentes consultées n'a cependant permis de corroborer les affirmations du recourant (cf. notamment UK Home Office, Border &amp; Immigration Agency, Country of Origin Information Report : Algeria, novembre 2007, par. 11.01 ss, p. 51 ss). En outre, le fait que celui-ci ait pu effectuer un grande partie de son service militaire sans connaître de problèmes liés à son origine kabyle - en particulier lors des événements d'avril 2001 - tend à démontrer que les autorités militaires algériennes ne traitent pas de manière différente les arabes et les kabyles.</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supra consid. 3.1), il ne ressort pas du dossier que le recourant serait exposé à de sérieux préjudices au sens de l'art. 3 LAsi, en cas de retour dans son pays d'origine. L'exécution du renvoi ne transgresse pas non plus les engagements de la Suisse relevant du droit international, en particulier les art. 3 CEDH et 3 Conv. torture. En effet, en l'absence de tout autre élément concret ressortant du dossier, l'intéressé n'a pas établi, à satisfaction de droit, l'existence pour lui d'un risque sérieux de subir, en cas de retour dans son pays d'origine, des traitements prohibés par le droit international contraignant. En particulier, rien ne permet d'admettre que les éventuelles sanctions prises à son encontre par les autorités militaires en vue de punir sa désertion l'exposeraient à pareils traitements.</w:t>
      </w:r>
    </w:p>
    <w:p>
      <w:r>
        <w:rPr>
          <w:b/>
        </w:rPr>
        <w:t>E. 6.3</w:t>
      </w:r>
    </w:p>
    <w:p>
      <w:r>
        <w:t>Dès lors, l'exécution du renvoi du recourant sous forme de refoulement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7.2</w:t>
      </w:r>
    </w:p>
    <w:p>
      <w:r>
        <w:t>L'Algérie ne connaît pas une situation de guerre, de guerre civile ou de violences généralisées qui permettrait d'emblée - et indépendamment des circonstances du cas d'espèce - de présumer, à propos de tous les ressortissants de cet Etat, l'existence d'une mise en danger concrète au sens de l'art. 83 al. 4 LEtr (cf. JICRA 2005 n° 13 consid. 7.2 p. 121 ss).</w:t>
      </w:r>
    </w:p>
    <w:p>
      <w:r>
        <w:rPr>
          <w:b/>
        </w:rPr>
        <w:t>E. 7.3</w:t>
      </w:r>
    </w:p>
    <w:p>
      <w:r>
        <w:t>En outre, il ne ressort du dossier aucun élément dont on pourrait inférer que l'exécution du renvoi impliquerait une mise en danger concrète du recourant. Celui-ci est en effet jeune, sans charge de famille et sans problème de santé particulier allégué. Bien que cela ne soit pas décisif, il dispose en outre d'un réseau social et familial dans son pays d'origine.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11.1</w:t>
      </w:r>
    </w:p>
    <w:p>
      <w:r>
        <w:t>La demande de restitution de l'effet suspensif est sans objet, dès lors que l'ODM n'a pas retiré cet effet à un éventuel recours dans sa décision attaquée.</w:t>
      </w:r>
    </w:p>
    <w:p>
      <w:r>
        <w:rPr>
          <w:b/>
        </w:rPr>
        <w:t>E. 11.2</w:t>
      </w:r>
    </w:p>
    <w:p>
      <w:r>
        <w:t>Dans la mesure où le Tribunal statue de manière immédiate et définitive sur le recours interjeté le 13 juin 2008, la demande de dispense de l'avance de frais est sans objet.</w:t>
      </w:r>
    </w:p>
    <w:p>
      <w:r>
        <w:rPr>
          <w:b/>
        </w:rPr>
        <w:t>E. 11.3</w:t>
      </w:r>
    </w:p>
    <w:p>
      <w:r>
        <w:t>Les conclusions du recours étant d'emblée vouées à l'échec, la demande d'assistance judiciaire doit être rejetée (art. 65 al. 1 et 2 PA).</w:t>
      </w:r>
    </w:p>
    <w:p>
      <w:r>
        <w:rPr>
          <w:b/>
        </w:rPr>
        <w:t>E. 12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