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D-3921/2022 vom 5. August 2022</w:t>
      </w:r>
    </w:p>
    <w:p>
      <w:r>
        <w:t>Bundesverwaltungsgericht, 2022-08-05, DE</w:t>
      </w:r>
    </w:p>
    <w:p>
      <w:r>
        <w:rPr>
          <w:b/>
        </w:rPr>
        <w:t xml:space="preserve">Quelle: </w:t>
      </w:r>
      <w:r>
        <w:t>https://mcp.opencaselaw.ch/entscheid/bvger_D-3921_2022_d20220805</w:t>
      </w:r>
    </w:p>
    <w:p>
      <w:r>
        <w:t>FR: TAF D-3921/2022 du 5 août 2022</w:t>
      </w:r>
    </w:p>
    <w:p>
      <w:r>
        <w:t>IT: TAF D-3921/2022 del 5 agosto 2022</w:t>
      </w:r>
    </w:p>
    <w:p>
      <w:pPr>
        <w:pStyle w:val="Heading2"/>
      </w:pPr>
      <w:r>
        <w:t>Regeste</w:t>
      </w:r>
    </w:p>
    <w:p>
      <w:r>
        <w:t>Verweigerung vor&amp;uuml;bergehender Schutz | Verweigerung vorübergehender Schutz; Verfügung des SEM vom 5. August 2022</w:t>
      </w:r>
    </w:p>
    <w:p>
      <w:pPr>
        <w:pStyle w:val="Heading2"/>
      </w:pPr>
      <w:r>
        <w:t>Erwägungen</w:t>
      </w:r>
    </w:p>
    <w:p>
      <w:r>
        <w:rPr>
          <w:b/>
        </w:rPr>
        <w:t>E. 20</w:t>
      </w:r>
    </w:p>
    <w:p>
      <w:r>
        <w:t>Dezember 1968 über das Verwaltungsverfahren (VwVG, SR 172.021) zuständig ist und auf dem Gebiet des Asyls in der Regel – und auch vorlie- gend – endgültig entscheidet (Art. 83 Bst. d Ziff. 1 des Bundesgesetzes vom 17. Juni 2005 über das Bundesgericht [BGG, SR 173.110]; Art. 72 i.V.m. Art. 105 des Asylgesetzes vom 26. Juni 1998 [AsylG, SR 142.31]), dass sich das Verfahren nach dem VwVG, dem VGG und dem BGG richtet, soweit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Art. 37 VGG i.V.m. Art. 48 Abs. 1 VwVG), dass somit auf die frist- und formgerecht eingereichte Beschwerde einzu- 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wie nachfolgend aufgezeigt, um eine solche handelt, weshalb das Urteil nur summarisch zu begründen ist (Art. 111a Abs. 2 AsylG), dass gestützt auf Art. 111a Abs. 1 AsylG auf einen Schriftenwechsel ver- zichtet wurde,</w:t>
      </w:r>
    </w:p>
    <w:p>
      <w:r>
        <w:t>D-3921/2022 Seite 4 dass der Bundesrat am 11. März 2022 gestützt auf Art. 66 Abs. 1 AsylG eine Allgemeinverfügung zur Gewährung des vorübergehenden Schutzes im Zusammenhang mit der Situation in der Ukraine erlassen hat (Bundes- blatt [BBl] 2022 586), dass gemäss dieser Allgemeinverfügung vorübergehender Schutz in der Schweiz zu gewähren ist: a) schutzsuchenden ukrainischen Staatsbürgerinnen und -bürgern und ihren Familienangehörigen, welche vor dem 24. Februar in der Uk- 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 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ausführte, seine Abklärungen hätten ergeben, der Beschwerdeführer könne sicher und dauerhaft nach Marokko zurückkehren und gehöre damit nicht zu der vom Bundesrat mit Beschluss vom 11. März 2022 definierten Gruppe der schutzberechtigten Personen, dass er einerseits als volljähriger Mann auch nicht gezwungen sei, in den elterlichen Haushalt zurückzukehren und andererseits die marokkanischen Behörden in Bezug auf drohende Gewaltdelikte grundsätzlich schutzfähig und schutzwillig seien, dass keine Wegweisungsvollzugshindernisse gegen eine Rückführung in den Heimatstaat sprechen würden, dass der Beschwerdeführer zur Begründung seiner Beschwerde vor- brachte, er studiere bereits seit drei Jahren in der Ukraine und sei aufgrund vom Vater erlittener Gewalt in Marokko in Gefahr, weshalb er nicht dorthin zurückkehren könne, dass er im Weiteren angab, sobald es die Situation zulasse, sein Studium in der Ukraine fortsetzen zu wollen,</w:t>
      </w:r>
    </w:p>
    <w:p>
      <w:r>
        <w:t>D-3921/2022 Seite 5 dass die vorinstanzliche Verfügung zu überzeugen vermag und sich die Argumente in der Beschwerdeschrift in einer Wiederholung der bereits im Rahmen des vorinstanzlichen Verfahrens geltend gemachten Vorbringen erschöpfen, dass der Beschwerdeführer einerseits nicht ukrainischer Staatsangehöri- ger ist und andererseits nicht über einen Schutzstatus dieses Staats verfügt, womit die Anwendung der Buchstaben a und b der Allgemein- verfügung vom 11. März 2022 ausser Betracht fällt, dass die Anwendung von Buchstaben c der Allgemeinverfügung unter an- derem voraussetzen würde, dass der Beschwerdeführer nicht in Sicherheit und dauerhaft nach Marokko zurückkehren könnte, dass eine solche Situation, wie vom SEM zutreffend ausgeführt, offenkun- dig nicht vorliegt, weshalb das SEM zu Recht das Gesuch um Gewährung des vorübergehenden Schutzes abgelehnt hat, dass die Ablehnung des Gesuchs um Gewährung des vorübergehenden Schutzes in der Regel die Wegweisung aus der Schweiz zur Folge hat (Art. 69 Abs. 4 AsylG), vorliegend insbesondere kein Kanton eine Aufent- haltsbewilligung erteilt hat und im Übrigen kein Anspruch auf Erteilung ei- ner solchen besteht (vgl. BVGE 2013/37 E. 4.4; 2009/50 E. 9, je m.w.H.), weshalb die verfügte Wegweisung im Einklang mit den gesetzlichen Best- immungen steht und demnach von der Vorinstanz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D-3921/2022 Seite 6 dass der Beschwerdeführer in der Schweiz kein Asylgesuch gestellt hat und den Akten mithin keine Hinweise auf eine allfällige Verletzung des flüchtlingsrechtlichen Refoulement-Verbots (Art. 5 Abs. 1 AsylG; vgl. ebenso Art. 33 Abs. 1 des Abkommens vom 28. Juli 1951 über die Rechts- stellung der Flüchtlinge [FK, SR 0.142.30]) zu entnehmen sind, dass auch keine Anhaltspunkte für eine im Heimat- oder Herkunftsstaat drohende menschenrechtswidrige Behandlung im Sinne von Art. 25 Abs. 3 BV, von Art. 3 des Übereinkommens vom 10. Dezember 1984 ge- gen Folter und andere grausame, unmenschliche oder erniedrigende Be- handlung oder Strafe (FoK, SR 0.105) und der Praxis zu Art. 3 EMRK er- sichtlich sind, womit der Vollzug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das Bundesverwaltungsgericht in Bezug auf Marokko davon ausgeht, es liege keine Situation allgemeiner Gewalt oder kriegerischer oder bürger- kriegsähnlicher Verhältnisse vor (vgl. Urteile des BVGer D-1836/2020 vom 16. April 2020 E. 3.3.2 und E-5976/2020 vom 28. Januar 2021 E. 7.3.2), dass der einzig vorgebrachte Einwand gegen eine Rückkehr in den Hei- matstaat mit der Gewalttätigkeit des Vaters begründet wird, dass dieser Einwand nicht zu überzeugen vermag, weil mit der Vorinstanz festzuhalten ist, dass die marokkanischen Behörden grundsätzlich schutz- willig und schutzfähig sind und es dem Beschwerdeführer zuzumuten ist, die marokkanische Schutzinfrastruktur in Anspruch zu nehmen, zumal er an der Kurzbefragung vom 28. Juli 2022 explizit behördliche Probleme oder solche mit marokkanischen Organisationen verneinte (A4/3, F21), dass es sich beim Beschwerdeführer um einen jungen, gesunden Mann handelt, der in seinem Heimatstaat, wo er aufgewachsen, sozialisiert und mit den dortigen Lebensumständen vertraut ist, über ein intaktes Bezie- hungsnetz verfügt und in sein gewohntes familiäres Umfeld in Marokko zu- rückkehren kann (unabhängig davon, ob in einen eigenen oder einen Fa- milienhaushalt), dass nämlich gemäss seinen Angaben die Eltern, drei verheiratete Schwestern und zwei Brüder in Marokko leben würden, wobei der Vater als</w:t>
      </w:r>
    </w:p>
    <w:p>
      <w:r>
        <w:t>D-3921/2022 Seite 7 LKW-Fahrer tätig sei, die Mutter infolge einer Erbschaft nicht arbeite und die Brüder dort studieren würden (A4/2, F10ff.), dass die Vorinstanz zu Recht festgestellt hat, der Beschwerdeführer ver- füge über eine gute Grundausbildung (Matura, begonnenes Studium) und erste Arbeitserfahrung (Hilfe bei der beruflichen Tätigkeit des Vaters in Ma- rokko, Taxifahrer in der Ukraine; A4/3, F19), dass daher davon ausgegangen werden kann, der Beschwerdeführer könne seine berufliche Karriere in Marokko fortsetzen beziehungsweise dort eine Arbeitsstelle finden, für seinen Lebensunterhalt sorgen und ge- rate bei einer Rückkehr nicht in eine existenzbedrohende Lage, dass er im Übrigen Marokko gemäss eigenen Angaben nicht wegen einer persönlichen Verfolgungssituation, sondern zwecks Verwirklichung seines Zukunftstraumes (Studium in der Ukraine; A4/3, F9 und F18 ff.) verlassen und in der Ukraine auch nicht um persönlichen Schutz ersucht hat, dass er zudem – nach Abschluss des Studiums beziehungsweise nachdem er seiner Mutter etwas vorweisen könne – selbst in Betracht zog, wieder nach Marokko zurückzukehren (A4/3, F22), dass somit – wie von der Vorinstanz korrekt festgestellt – weder die allge- meine Lage im Heimatstaat des Beschwerdeführers noch individuelle Gründe auf eine konkrete Gefährdung im Falle einer Rückkehr schliessen lassen, weshalb der Vollzug der Wegweisung nach Marokko zumutbar ist, dass schliesslich mangels Vollzugshindernisse der Wegweisungsvollzug des Beschwerdeführers in den Heimatstaat möglich ist (Art. 83 Abs. 2 AIG) und es dem Beschwerdeführer obliegt, nötigenfalls bei der Beschaffung gültiger Reisepapiere mitzuwirken (vgl. Art. 8 Abs. 4 AsylG und dazu auch BVGE 2008/34 E. 12), dass nach dem Gesagten der von der Vorinstanz verfügte Vollzug der Weg- weisung zu bestätigen ist und sich auch die Frage der vorläufigen Auf- nahme in der Schweiz nicht stellt, dass die angefochtene Verfügung Bundesrecht nicht verletzt, den rechts- erheblichen Sachverhalt richtig sowie vollständig feststellt (Art. 106 Abs. 1 AsylG) und – soweit überprüfbar – angemessen ist, weshalb die Be- schwerde abzuweisen ist,</w:t>
      </w:r>
    </w:p>
    <w:p>
      <w:r>
        <w:t>D-3921/2022 Seite 8 dass das Gesuch um unentgeltliche Prozessführung unabhängig vom all- fälligen Vorliegen der Bedürftigkeit des Beschwerdeführers abzuweisen ist, da die Beschwerde gemäss den vorstehenden Erwägungen als aussichts- los zu bezeichnen ist und es daher an einer gesetzlichen Voraussetzung zu deren Gewährung fehlt, dass bei diesem Ausgang des Verfahrens die Kosten von Fr. 750.– (Art. 1–3 des Reglements vom 21. Februar 2008 über die Kosten und Ent- schädigungen vor dem Bundesverwaltungsgericht [VGKE, SR 173.320.2]) der Beschwerdeführerin aufzuerlegen sind (Art. 63 Abs. 1 VwVG). (Dispositiv nächste Seite)</w:t>
      </w:r>
    </w:p>
    <w:p>
      <w:r>
        <w:t>D-3921/2022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