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D-3915/2023 vom 28. September 2023</w:t>
      </w:r>
    </w:p>
    <w:p>
      <w:r>
        <w:t>Bundesverwaltungsgericht, 2023-09-28, FR</w:t>
      </w:r>
    </w:p>
    <w:p>
      <w:r>
        <w:rPr>
          <w:b/>
        </w:rPr>
        <w:t xml:space="preserve">Quelle: </w:t>
      </w:r>
      <w:r>
        <w:t>https://mcp.opencaselaw.ch/entscheid/bvger_D-3915_2023</w:t>
      </w:r>
    </w:p>
    <w:p>
      <w:r>
        <w:t>FR: TAF D-3915/2023 du 28 septembre 2023</w:t>
      </w:r>
    </w:p>
    <w:p>
      <w:r>
        <w:t>IT: TAF D-3915/2023 del 28 settembre 2023</w:t>
      </w:r>
    </w:p>
    <w:p>
      <w:pPr>
        <w:pStyle w:val="Heading2"/>
      </w:pPr>
      <w:r>
        <w:t>Regeste</w:t>
      </w:r>
    </w:p>
    <w:p>
      <w:r>
        <w:t>Exécution du renvoi (réexamen)</w:t>
      </w:r>
    </w:p>
    <w:p>
      <w:pPr>
        <w:pStyle w:val="Heading2"/>
      </w:pPr>
      <w:r>
        <w:t>Erwägungen</w:t>
      </w:r>
    </w:p>
    <w:p>
      <w:r>
        <w:rPr>
          <w:b/>
        </w:rPr>
        <w:t>E. 9</w:t>
      </w:r>
    </w:p>
    <w:p>
      <w:r>
        <w:t>mai 2023 p. 9 et les réf. citées), que si des menaces auto-agressives devaient apparaître au moment de l'organisation du départ de Suisse, il appartiendrait donc aux autorités chargées de l'exécution du transfert de prévoir des mesures concrètes pour en prévenir la réalisation, que dans ces conditions, faute d’éléments pertinents, c’est à juste titre que l’autorité intimée a rejeté la demande de réexamen des intéressés dans la mesure où elle est recevable,</w:t>
      </w:r>
    </w:p>
    <w:p>
      <w:r>
        <w:t>D-3915/2023 Page 10 que, pour le surplus, il convient de renvoyer aux considérants de la décision attaquée dès lors que ceux-ci sont suffisamment explicites et motivés (art. 109 al. 3 LTF, par renvoi de l’art. 4 PA),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de dispense de versement de l’avance de frais présentée simultanément au recours est sans objet, que, les conclusions du recours étant d’emblée vouées à l’échec, la demande d’assistance judiciaire partielle (art. 65 al. 1 PA)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D-3915/2023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