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D-3911/2020 vom 9. Juli 2020</w:t>
      </w:r>
    </w:p>
    <w:p>
      <w:r>
        <w:t>Bundesverwaltungsgericht, 2020-07-09, DE</w:t>
      </w:r>
    </w:p>
    <w:p>
      <w:r>
        <w:rPr>
          <w:b/>
        </w:rPr>
        <w:t xml:space="preserve">Quelle: </w:t>
      </w:r>
      <w:r>
        <w:t>https://mcp.opencaselaw.ch/entscheid/bvger_D-3911_2020_d20200709</w:t>
      </w:r>
    </w:p>
    <w:p>
      <w:r>
        <w:t>FR: TAF D-3911/2020 du 9 juillet 2020</w:t>
      </w:r>
    </w:p>
    <w:p>
      <w:r>
        <w:t>IT: TAF D-3911/2020 del 9 luglio 2020</w:t>
      </w:r>
    </w:p>
    <w:p>
      <w:pPr>
        <w:pStyle w:val="Heading2"/>
      </w:pPr>
      <w:r>
        <w:t>Regeste</w:t>
      </w:r>
    </w:p>
    <w:p>
      <w:r>
        <w:t>Asyl und Wegweisung | Asyl und Wegweisung; Verfügung des SEM vom 9. Juli 2020 / 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t>D-3911/2020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(vgl. BGE 136 I 184 E. 2.2.1).</w:t>
      </w:r>
    </w:p>
    <w:p>
      <w:r>
        <w:rPr>
          <w:b/>
        </w:rPr>
        <w:t>E. 3.3</w:t>
      </w:r>
    </w:p>
    <w:p>
      <w:r>
        <w:t>Der Beschwerdeführer monierte, dass es anlässlich seiner beiden An- hörungen mehrfach zu Problemen mit der Übersetzung des Dolmetschers des SEM gekommen sei und dieser häufig nicht korrekt übersetzt habe. Diese Übersetzungsschwierigkeiten seien in den Anhörungsprotokollen und im Kurzbericht der HWV festgehalten worden.</w:t>
      </w:r>
    </w:p>
    <w:p>
      <w:r>
        <w:rPr>
          <w:b/>
        </w:rPr>
        <w:t>E. 3.4</w:t>
      </w:r>
    </w:p>
    <w:p>
      <w:r>
        <w:t>Zur Rüge des Beschwerdeführers, dass anlässlich der Befragungen eine Übersetzungsperson mit mangelnden Fähigkeiten anwesend gewe- sen sein soll, weshalb sich oft unkorrekte und unklare Übersetzungen er-</w:t>
      </w:r>
    </w:p>
    <w:p>
      <w:r>
        <w:t>D-3911/2020 Seite 8 geben hätten, ist festzustellen, dass der ebenfalls anwesende Vertrauens- dolmetscher des Beschwerdeführers zwar zahlreiche Anmerkungen und Ergänzungen während den beiden Anhörungen sowie bei der Rücküber- setzung protokollieren liess. Dabei handelt es sich jedoch – wie von der Vorinstanz vorgebracht – hauptsächlich um Korrekturen von synonymen oder ähnlichen Begriffen, welche vom SEM-Dolmetscher verwendet wor- den waren. Daraus ist nicht ersichtlich, dass die Korrekturen des Vertrau- ensdolmetschers zu einem anderen inhaltlichen Ergebnis geführt hätten. Diese sind sodann durch das SEM berücksichtigt worden. Aus den weite- ren zahlreichen Anmerkungen geht hervor, dass es sich vielmehr um per- sönliche Interpretationen des Vertrauensdolmetschers als um tatsächlich falsche oder ungenaue Übersetzungen gehandelt haben muss (vgl. etwa A30/17, F25 [S. 8-11]; A34/21, F52, F58, F71, F82, F92). Schliesslich ist darauf hinzuweisen, dass der Beschwerdeführer durch seine Unterschrift auf den Protokollen die Richtigkeit des Inhalts bestätigte und zudem die Gelegenheit wahrgenommen hat, während der Rückübersetzungen An- merkungen anzubringen, welche ins Protokoll aufgenommen wurden. Zusammenfassend ist deshalb festzustellen, dass keine Verletzung der Verfahrensrechte des Beschwerdeführers ersichtlich ist. Die Rüge geht so- mit fehl.</w:t>
      </w:r>
    </w:p>
    <w:p>
      <w:r>
        <w:rPr>
          <w:b/>
        </w:rPr>
        <w:t>E. 4.1</w:t>
      </w:r>
    </w:p>
    <w:p>
      <w:r>
        <w:t>Streitgegenstand des vorliegenden Verfahrens bildet die Frage, ob die Vorinstanz zu Recht die Flüchtlingseigenschaft des Beschwerdeführers verneinte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D-3911/2020 Seite 9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die Schilderungen des Beschwerdeführers zu seinen gel- tend gemachten Fluchtgründen teilweise widersprüchlich und unsubstan- ziiert ausgefallen seien und somit insgesamt den Anforderungen an die Glaubhaftigkeit im Sinne von Art. 7 AsylG nicht genügen würden. In der ersten Anhörung habe er angegeben, nach seiner langjährigen In- haftierung von der Sepah gezwungen worden zu sein, eine Tarnfirma zwecks Aufklärung islamistischer Zellen im Irak aufzubauen. Da der eigent- liche Zweck dieser Firma jedoch zum Ziel gehabt habe, gegen kurdische Kader der demokratischen Partei vorzugehen, habe er den Irak verlassen. In der BzP habe er hingegen erklärt, noch nie im Ausland gewesen zu sein und nach seiner Haftentlassung in selbständiger Tätigkeit gearbeitet zu ha- ben. Seine diesbezügliche Erklärung, er habe sich anlässlich der BzP kurz- halten müssen und deshalb den Aufenthalt im Irak nicht erwähnt, über- zeuge nicht. Weiter habe es Ungereimtheiten in seinen Aussagen zu seiner langjährigen Haft gegeben. In der BzP habe er erklärt, wegen politischer Aktivitäten verurteilt worden zu seien, wohingegen er bei der Anhörung an- gegeben habe, er sei zu Unrecht beschuldigt worden, an der Desertion zweier Arbeitskollegen beteiligt gewesen zu sein. Ein weiterer Widerspruch habe sich ergeben, als er einmal geschildert habe, erst 2017 von einem Freund erfahren zu haben, dass er auf der Todesliste stehe, während er ein anderes Mal erklärt habe, bereits im August 2013 von Behördenmitglie- dern mit dem Tod bedroht worden zu sein. Auch bezüglich seines Passes habe er sich widersprüchlich geäussert und in der BzP erörtert, dass dieser durch die iranische Regierung beschlagnahmt worden sei. Anlässlich der zweiten Anhörung habe er hingegen ausgesagt, aus Angst an der Grenze verhaftet zu werden, den Pass nicht mitgenommen zu haben. Diese Wi- dersprüche habe er auch auf Nachfrage hin nicht auflösen können und sei den diesbezüglichen Fragen ausgewichen. Weitere Ungereimtheiten hät- ten sich hinsichtlich des Zeitraums, während welchem er bei der Sepah tätig gewesen sei sowie zur Haftdauer und den Haftsequenzen ergeben. Zudem sei es nicht nachvollziehbar, weshalb er die Sepah nicht bereits zu einem früheren Zeitpunkt verlassen habe, zumal er sich mit einem Geldbe- trag hätte ablösen können. Es erstaune, dass er einerseits erklärt habe,</w:t>
      </w:r>
    </w:p>
    <w:p>
      <w:r>
        <w:t>D-3911/2020 Seite 10 seine Familie sei nicht in der Lage gewesen, diesen hohen Betrag aufzu- bringen, anderseits seien seine Ausreisekosten in der Höhe von USD 9'500 von ihnen bezahlt worden. Sodann habe er keine konzisen Angaben zur Taswiyeh-Liste, auf welcher er angeblich aufgeführt gewesen sei, machen können. Einmal habe er dargelegt, dass die auf dieser Liste aufgeführten Personen hingerichtet würden, ein anderes Mal habe er erklärt, der Eintrag auf dieser Liste sei gleichbedeutend mit dem Tod, da die darauf aufgeführ- ten Personen ermordet würden. Es erstaune zudem, warum er nichts un- ternommen habe um zu erfahren, ob sein Name aktuell noch auf dieser Liste figuriere, zumal er diese wichtigen Informationen mithilfe seines beim Geheimdienst arbeitenden Freundes hätte herausfinden können. Ferner habe er auch keine substanziierten Angaben zu seinen Tätigkeiten im Irak machen können. Ausserdem wirke es befremdend, wenn er be- haupte, er habe sich nach seiner Entlassung bei der Sepah im Untergrund bewegen müssen, obwohl er sich aufgrund seiner Eheschliessung in der Öffentlichkeit gezeigt haben müsste. Aus den Gerichtsakten gehe weiter hervor, dass der Beschwerdeführer zwischen 2004 und 2006 aufgrund von Missachtung verschiedener Dienst- vorschriften entlassen und zu einer Geldstrafe verurteilt worden sei. Hin- weise dafür, dass er aufgrund seiner Handlungen von der Sepah als er- heblicher Risikofaktor eingestuft worden sei, weil er über heikle Informati- onen verfügte, seien hingegen keine vorhanden. Beim Haftbeleg aus dem Jahr 2010 handle es sich lediglich um ein Fragment eines Dokuments. Da- raus lasse sich keine mehrjährige Haftstrafe ableiten. Zudem habe er aus- geführt, wegen seiner Verurteilung zu einer sechsjährigen Haft in Berufung gegangen zu sein, weshalb entsprechende Akten hätten vorliegen müssen. Bei der Vorladung aus dem Jahr 2011 handle es sich ebenfalls um ein Fragment, wobei der untere Teil abgerissen sei und ausserdem nicht zu- geordnet werden könne, da keine inhaltlichen Angaben daraus hervorge- hen würden. Die eingereichten Unterlagen zu seiner Firma im Irak sowie die Auszüge aus der Fernsehsendung seien ungeeignet, eine Verfolgung durch die Sepah zu belegen. Bei den vorgebrachten Verfolgungsmassnah- men seiner Schwestern handle es sich um Aussagen Dritter, welche nicht überprüft werden könnten. Die behauptete Entlassung einer Schwester wegen der Flucht des Beschwerdeführers basiere auf Mutmassungen und könne nicht belegt werden. Ausserdem habe er ausgeführt, mit der Sepah Kontakt aufgenommen und versichert zu haben, keine sensiblen Daten preiszugeben, weswegen der Druck auf seine Familienangehörigen in der Folge abgenommen habe.</w:t>
      </w:r>
    </w:p>
    <w:p>
      <w:r>
        <w:t>D-3911/2020 Seite 11 Schliesslich sei hervorzuheben, dass ihm durch seinen geltend gemachten Atheismus keine Nachteile entstanden seien.</w:t>
      </w:r>
    </w:p>
    <w:p>
      <w:r>
        <w:rPr>
          <w:b/>
        </w:rPr>
        <w:t>E. 5.2</w:t>
      </w:r>
    </w:p>
    <w:p>
      <w:r>
        <w:t>Der Beschwerdeführer hielt der Argumentation der Vorinstanz entge- gen, er habe während der BzP nicht alle Details erwähnen können, weil ihm der Dolmetscher erklärt habe, er solle seine Fluchtgründe lediglich kurz zusammenfassen und er bei einer weiteren Anhörung die Gelegenheit er- halte, detailliert über diese zu sprechen. Aus diesem Grund und aus Angst, dass die sehr geheimen Informationen in Bezug auf die Tarnfirma im Irak von den Schweizer Behörden nicht vertraulich behandelt würden und seine Familie deshalb unter Druck gesetzt werden könnte, habe er seine Mission im Irak anlässlich der BzP nicht erwähnt. Durch das Einreichen verschie- dener Beweismittel habe er jedoch seinen Aufenthalt im Irak belegen kön- nen. Sodann sei der angebliche Widerspruch, dass er zu einer Haftstrafe verurteilt worden sei, weil er sich gegen das iranische Regime gestellt habe, nicht gegensätzlich zu seiner Aussage, wegen der Anschuldigung, an der Desertion von zwei ehemaligen Arbeitskollegen beteiligt gewesen zu sein. Er sei auf der Todesliste aufgeführt und deshalb zum Tod verurteilt worden, weil er über heikle Informationen im Zusammenhang mit seiner Tätigkeit im Irak und über sensible Informationen über die Familie E._______ verfüge, sowie weil er sich geweigert habe, weiterhin für den iranischen Geheimdienst zu arbeiten. Die Information, auf der Todesliste aufgeführt zu sein, habe er von einem Freund, welcher der Leiter des Si- cherheitsdienstes beim Ettelaat sei, erhalten. Nach seiner Flucht habe er diesen aber mangels sicherer Kommunikationswege nicht mehr kontaktie- ren können. Deshalb sei es ihm nicht möglich, weitere diesbezügliche In- formationen zu erhalten. Ferner sei seine Familie mehrfach vom Ettelaat belästigt worden. Aus diesem Grund habe er sich über eine als Medienun- ternehmen getarnte Internetseite an die Sepah gewandt und gedroht, heikle Informationen zur Tätigkeit der Sepah in der ARK zu veröffentlichen, sollte seine Familie weiterhin belästigt werden. Sodann habe er sich hin- sichtlich seines Passes nicht widersprochen, sondern zwei Mal erklärt, sein Pass befinde sich bei den iranischen Behörden. Die von der Vorinstanz bemängelten zeitlichen Diskrepanzen seien damit zu erklären, dass er an- lässlich der Anhörung spontan vom persischen in den gregorianischen Ka- lender umgerechnet habe und es dabei zu Ungenauigkeiten gekommen sei. Hinsichtlich des eingereichten Haftbelegs sei zu erwähnen, dass er diesen einem Bekannten übergeben habe, damit dieser ihn aus dem Ge- fängnis bringen könne, wobei anlässlich der Sicherheitskontrolle das Do- kument wahrscheinlich angerissen worden sei. Insgesamt erfülle er die Flüchtlingseigenschaft. Dies gehe im Übrigen auch aus dem Kurzbericht</w:t>
      </w:r>
    </w:p>
    <w:p>
      <w:r>
        <w:t>D-3911/2020 Seite 12 der HWV hervor, welche gemäss ihrer Einschätzung die Flüchtlingseigen- schaft des Beschwerdeführers bejaht habe.</w:t>
      </w:r>
    </w:p>
    <w:p>
      <w:r>
        <w:rPr>
          <w:b/>
        </w:rPr>
        <w:t>E. 6.1</w:t>
      </w:r>
    </w:p>
    <w:p>
      <w:r>
        <w:t>Zunächst ist zu prüfen, ob die Vorinstanz die Vorbringen des Beschwer- deführers zu Recht als unglaubhaft beurteilt hat.</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6.3</w:t>
      </w:r>
    </w:p>
    <w:p>
      <w:r>
        <w:t>Einleitend stellt das Gericht fest, dass die vom Beschwerdeführer dar- gelegte Militärausbildung sowie die Anstellung bei der Sepah bis zum 21. August 2004 aufgrund der eingereichten Beweismittel (Zertifikat der Mi- litärausbildung, diverse Fotos, Lohnabrechnungen sowie weitere Bestäti- gungen und verschiedene Anstellungsverfügungen) belegt sind und somit als erstellt gelten, zumal an der Authentizität der in diesem Zusammenhang eingereichten Dokumente keine Zweifel bestehen. Sodann sind auch die gegen ihn angeordneten Disziplinarmassnahmen gut dokumentiert. Dem</w:t>
      </w:r>
    </w:p>
    <w:p>
      <w:r>
        <w:t>D-3911/2020 Seite 13 «Bestrafungsanordnungsformular» vom 3. November 2001 ist etwa zu ent- nehmen, dass er wegen Vernachlässigung seiner Verpflichtungen, fehlen- dem Interesse und Gleichgültigkeit im Dienst sowie der Missachtung isla- mischer Regeln schriftlich verwarnt worden war. Den Berichten an den Ge- neralkommandanten vom 14. April 2004 und 26. Mai 2004 sind weitere Verfehlungen des Beschwerdeführers zu entnehmen. Aus dem Urteil des Militärgerichts vom 27. September 2006 geht weiter hervor, dass er wegen Desertion zwischen 21. August 2004 und 17. September 2006 anstelle ei- ner Haftstrafe zu einer Geldbusse von vier Millionen Riyal verurteilt wurde. Dass ihm deshalb mit Entlassungsverfügung vom 23. Oktober 2006 rück- wirkend auf den 21. August 2004 – also dem ersten Tag seines Nichter- scheinens respektive seiner Desertion – gekündigt worden war, erscheint dem Gericht ebenso schlüssig wie glaubhaft. Insgesamt stützen die betref- fenden Beweismittel die detaillierten Schilderungen des Beschwerdefüh- rers zum erwähnten Sachverhalt (vgl. act. A30/17, F19-22; A34/21, F45, F47, F49-54). Des Weiteren konnte er überzeugt schildern, als Geschäfts- führer der Firma (…) in F.______ tätig gewesen zu sein und über einen Aufenthaltstitel im Irak respektive der ARK verfügt zu haben. Dabei ist es ihm gelungen, auch diese Sachverhaltselemente anhand der eingereichten Unterlagen überzeugend zu belegen.</w:t>
      </w:r>
    </w:p>
    <w:p>
      <w:r>
        <w:rPr>
          <w:b/>
        </w:rPr>
        <w:t>E. 6.4</w:t>
      </w:r>
    </w:p>
    <w:p>
      <w:r>
        <w:t>Hingegen ergeben sich wesentliche Zweifel an der geltend gemachten ungefähr einjährigen Haft des Beschwerdeführers zwischen 2006/2007 und 2007/2008 sowie der weiteren Inhaftierung zwischen 21. Juni 2009 und 7. August 2013 (vgl. act. A10/13, F1.17.04). Einerseits ist augen- scheinlich, dass seine Ausführungen zur Haftzeit und den diesbezüglichen Umständen im Vergleich zu seinen ansonsten detaillierten Schilderungen äusserst substanzarm ausgefallen sind. Dennoch ist nicht gänzlich auszu- schliessen, dass er im Zusammenhang mit seiner Desertion oder aufgrund seines Verhaltens nochmals nach dem Begleichen der Geldstrafe verhört worden war (vgl. act. A30/17, F24). Anderseits erscheint auch der weitere Ablauf seiner Vorbringen wenig schlüssig. Er konnte nicht überzeugend und nachvollziehbar erklären, wieso er während seiner Haft ein äusserst lukratives Angebot (Aufbau einer kostspieligen Tarnfirma im Irak inklusive einer sehr guten Bezahlung und zusätzlichen Boni) von derselben Institu- tion erhalten haben soll, welche ihn zuvor 2006 wegen Desertion angeklagt und ihm schliesslich deshalb gekündigt hat. Sodann ist kaum davon aus- zugehen, dass die iranische Revolutionsgarde einem verurteilten Deser- teur, welchem offiziell gekündigt worden war, eine wie vom Beschwerde- führer behauptete geheime Mission und heikle Geheiminformationen über- geben würde (vgl. act. 10/13, F7.01 S. 8; A30/17, F25; A34/21, F61-62).</w:t>
      </w:r>
    </w:p>
    <w:p>
      <w:r>
        <w:t>D-3911/2020 Seite 14 Die Zweifel am Wahrheitsgehalt seiner Haft werden durch verschiedene eingereichte Dokumente bestätigt. So fällt zunächst auf, dass in seiner an- sonsten gut dokumentierte Biographie seine Verurteilung zu einer mehr- jährigen Haftstrafe fehlt, dies obwohl er in der Anhörung die Verurteilung sowie das Urteil und die dagegen erhobene Berufung erwähnte. Das Urteil oder die Berufungsschrift respektive das abschliessende Urteil hätten problemlos erhältlich gemacht werden können (vgl. act. A30/17, F25, S. 8). Ferner weist die eingereichte Vorladung zum Gerichtstermin von 27. Juli 2011 Unstimmigkeiten auf. Es ist nicht erklärbar, wieso die Behörden die Vorladung an die offizielle Privatadresse des Beschwerdeführers zugestellt haben sollen (vgl. act. A10/13, F2.02), obwohl er angab, während dieses Zeitraums in einem Gefängnis eingesessen zu haben. Es kann davon aus- gegangen werden, dass die iranischen Behörden über die Inhaftierung des Beschwerdeführers hätten im Bild gewesen sein müssen, wäre er tatsäch- lich in Haft gewesen, und die Vorladung beim Gefängnis abgegeben hät- ten. Ausserdem wäre es schlicht unwahrscheinlich, dass dem Beschwer- deführer am 27. Juli 2013 sein Führerausweis ausgestellt worden wäre, wenn er, wie von ihm dargelegt, tatsächlich zwischen 21. Juni 2009 und</w:t>
      </w:r>
    </w:p>
    <w:p>
      <w:r>
        <w:rPr>
          <w:b/>
        </w:rPr>
        <w:t>E. 6.5</w:t>
      </w:r>
    </w:p>
    <w:p>
      <w:r>
        <w:t>Zusammenfassend kommt das Gericht zum Schluss, dass der Be- schwerdeführer nicht glaubhaft darlegen konnte, zu einer Haftstrafe von</w:t>
      </w:r>
    </w:p>
    <w:p>
      <w:r>
        <w:t>D-3911/2020 Seite 15 insgesamt sechs Jahren verurteilt worden zu sein und zwischen 2009 und 2013 in Haft verbracht zu haben, bevor er von Agenten der Sepah für den Aufbau einer Tarnfirma im Irak zwecks Aufspürens islamistischer Zellen respektive Massnahmen gegen kurdische Kader der demokratischen Par- tei, rekrutiert worden sei. Vielmehr ist davon auszugehen, dass es sich bei der Firma – deren Existenz hinreichend belegt wurde – nicht um eine Tarn- firma, sondern vielmehr um seine eigene gehandelt hat, zumal er auch über zahlreiche detaillierte Informationen über die Geschäftsvorgänge ver- fügte und als Geschäftsführer und Aktionär offiziell eingetragen ist (vgl. act. A30/17, F25, S. 10). Demensprechend erweisen sich seine Vorbrin- gen, wegen geheimer Informationen rund um diese Firma im Irak von der Sepah gesucht und auf einer Todesliste gestanden zu haben, als unglaub- haft.</w:t>
      </w:r>
    </w:p>
    <w:p>
      <w:r>
        <w:rPr>
          <w:b/>
        </w:rPr>
        <w:t>E. 7</w:t>
      </w:r>
    </w:p>
    <w:p>
      <w:r>
        <w:t>August 2013 in Haft gewesen wäre. Gegen den Wahrheitsgehalt der gel- tend gemachten Inhaftierung spricht schliesslich auch die Tatsache, dass der Beschwerdeführer im Handelsregister F.______ unter seinem Namen bereits am 12. März 2012 – notabene während seiner angeblichen Haft – als Geschäftsführer (managing director) der Firma (…) registriert worden war, also rund zwei Jahre bevor die Beamten ihn in Haft besucht und zur Kooperation gezwungen haben sollen (vgl. act. A30/17, F25, S. 9 oben). Der Vollständigkeit halber ist zu erwähnen, dass das «Formular der Sozi- alarbeiterkorrespondenzen» des Hauptbüros der Gefängnisse der Provinz D._______ keine Sicherheitsmerkmale aufweist, lediglich in unvollständi- ger Form vorliegt, äusserst fälschungsanfällig ist und dementsprechend über keinen Beweiswert verfügt. Die Schilderungen des Beschwerdefüh- rers zu seiner angeblichen Haft und der Geheimmission im Irak weichen diametral von den eingereichten Fakten, welche den Beweismitteln ent- nommen werden können, ab und lassen sich auch nicht mit allfälligen Übersetzungsproblemen erklären. Im Übrigen wird bezüglich der weiteren Ungereimtheiten auf die ausführliche Verfügung der Vorinstanz verwiesen. Auch die Behauptung, seine Familie habe seinetwegen Benachteiligungen erfahren, erweist sich vor diesem Hintergrund als blosse Schutzbehaup- tung.</w:t>
      </w:r>
    </w:p>
    <w:p>
      <w:r>
        <w:rPr>
          <w:b/>
        </w:rPr>
        <w:t>E. 7.1</w:t>
      </w:r>
    </w:p>
    <w:p>
      <w:r>
        <w:t>In einem weiteren Schritt ist zu prüfen, ob die glaubhaft gemachten Elemente der Asylvorbringen des Beschwerdeführers den Anforderungen an Art. 3 AsylG genügen.</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7.3</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w:t>
      </w:r>
    </w:p>
    <w:p>
      <w:r>
        <w:t>D-3911/2020 Seite 16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7.4</w:t>
      </w:r>
    </w:p>
    <w:p>
      <w:r>
        <w:t>Der Beschwerdeführer konnte glaubhaft darlegen, während seiner An- stellung bei der Sepah bis zum Jahr 2004 verschiedene Disziplinarmass- nahmen, die Zahlung einer Geldstrafe infolge einer Verurteilung wegen De- sertion sowie die anschliessende Kündigung aus dem Dienst erlitten zu haben. Aus den beiliegenden Beweismitteln sowie aus den Ausführungen des Beschwerdeführers geht hervor, dass er wegen ungebührlichen Ver- haltens während des Dienstes mit Urteil des Militärgerichts vom 27. Sep- tember 2006 wegen Desertion verurteilt wurde. Die zuletzt erfolgte diesbe- zügliche Strafe in Form einer Geldbusse, welche er nach seiner Verurtei- lung beglichen hat, erscheint nicht als eine übermässige Bestrafung, geht doch aus dem Urteil hervor, dass von einer Haftstrafe abgesehen worden war. Zudem ist festzuhalten, dass es sich bei Desertion um eine berechtigte respektive eine legitime Strafe handelt, welche im Übrigen auch gemäss dem Schweizerischen Militärgesetz geahndet wird. Zwar wurde er nach seiner Verurteilung mit Kündigung aus dem Dienst der Sepah entlassen, hingegen geht aus den Protokollen nicht hervor, dass er seither weitere gegen ihn gerichtete Massnahmen oder Verfolgungen erlitt. Vielmehr ist seinen Schilderungen zu entnehmen, dass er noch mehrere Jahre im Iran lebte respektive regelmässig von der AKR über einen offiziellen Weg in den Iran zurückkehren konnte und sich auch problemlos an die Behörden wen- den konnte, um sich etwa einen Führerschein ausstellen zu lassen. Schliesslich ist nicht ersichtlich, dass seine Ausreise im März 2017 in einem kausalen Zusammenhang mit seiner im Jahr 2006 erfolgten Verurteilung gestanden hatte. Eine flüchtlingsrechtlich relevante Verfolgung ist dem- nach nicht zu erkennen.</w:t>
      </w:r>
    </w:p>
    <w:p>
      <w:r>
        <w:rPr>
          <w:b/>
        </w:rPr>
        <w:t>E. 7.5</w:t>
      </w:r>
    </w:p>
    <w:p>
      <w:r>
        <w:t>Aus den vorangehenden Erwägungen geht hervor, dass auch unter Be- rücksichtigung der teilweise als glaubhaft eingestuften Elemente keine asylrechtlich relevanten Verfolgungsgründe im Sinne von Art. 3 AsylG er- sichtlich sind, weshalb die Vorinstanz zu Recht die Flüchtlingseigenschaft des Beschwerdeführers verneint und sein Asylgesuch abgelehnt hat.</w:t>
      </w:r>
    </w:p>
    <w:p>
      <w:r>
        <w:t>D-3911/2020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 ber 1984 gegen Folter und andere grausame, unmenschliche oder ernied- 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9.3</w:t>
      </w:r>
    </w:p>
    <w:p>
      <w:r>
        <w:t>Dem Beschwerdeführer ist es nicht gelungen, eine asylrechtlich erheb- liche Gefährdung nachzuweisen oder glaubhaft zu machen, somit kann der</w:t>
      </w:r>
    </w:p>
    <w:p>
      <w:r>
        <w:t>D-3911/2020 Seite 18 in Art. 5 AsylG verankerte Grundsatz der Nichtrückschiebung im vorliegen- den Verfahren keine Anwendung finden. Eine Rückkehr des Beschwerde- führers in den Iran ist demnach unter dem Aspekt von Art. 5 AsylG recht- mässig. 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 haft machen, dass ihm im Fall einer Rückschiebung Folter oder unmensch- liche Behandlung drohen würde (vgl. Urteil des EGMR Saadi gegen Italien 28. Februar 2008, Grosse Kammer, 37201/06, §§ 124–127 m.w.H.). Auch die allgemeine Menschenrechtssituation im Iran lässt den Wegweisungs- 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Im Iran herrscht weder Krieg oder Bürgerkrieg noch eine Situation all- gemeiner Gewalt, aufgrund derer eine Rückkehr generell unzumutbar wäre (vgl. beispielsweise Urteile des BVGer D-5353/2017 vom 10. Januar 2019 E. 9.2.1, m.w.H., E-6697/2018 vom 10. Dezember 2018 und E-1247/2018 vom 24. März 2021 E. 7.5.1).</w:t>
      </w:r>
    </w:p>
    <w:p>
      <w:r>
        <w:rPr>
          <w:b/>
        </w:rPr>
        <w:t>E. 9.6</w:t>
      </w:r>
    </w:p>
    <w:p>
      <w:r>
        <w:t>Sodann sind keine individuellen Gründe ersichtlich, die gegen einen Wegweisungsvollzug sprechen. Der Beschwerdeführer verfügt über eine solide schulische Bildung sowie über mehrjährige Arbeitserfahrung als (…) einer (…) firma, welche Beachtung durch einen Fernsehauftritt sowie ver- schiedene Werbeauftritte erlangte und somit bekannt sein dürfte. Auch wenn er sich mehrere Jahre im Ausland aufhielt, wird es ihm mithilfe seiner ehemaligen geschäftlichen Verbindungen und seiner (ehemaligen) Firma möglich sein, sich erneut eine berufliche Existenz aufzubauen. Ferner le- ben seine Eltern und seine Geschwister in Iran, womit auch ein familiäres Netzwerk im Heimatland vorhanden ist, welches ihn bei Bedarf bei seiner</w:t>
      </w:r>
    </w:p>
    <w:p>
      <w:r>
        <w:t>D-3911/2020 Seite 19 Reintegration hilfreich zur Seite stehen könnte. Ausserdem geht aus den Akten nicht hervor, dass der Beschwerdeführer auf medizinische oder psy- chologische Hilfe angewiesen wäre oder sich aktuell einer Therapie unter- ziehen würde, weshalb dem Vollzug der Wegweisung auch aus medizini- scher Sicht nichts entgegenzuhalten ist.</w:t>
      </w:r>
    </w:p>
    <w:p>
      <w:r>
        <w:t>Nach dem Gesagten erweist sich der Vollzug der Wegweisung auch als zumutbar.</w:t>
      </w:r>
    </w:p>
    <w:p>
      <w:r>
        <w:rPr>
          <w:b/>
        </w:rPr>
        <w:t>E. 9.7</w:t>
      </w:r>
    </w:p>
    <w:p>
      <w:r>
        <w:t>Es obliegt dem Beschwerdeführer, sich bei der zuständigen Vertretung des Heimatstaates für eine Rückkehr allenfalls notwendigen Reisedoku- 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w:t>
      </w:r>
    </w:p>
    <w:p>
      <w:r>
        <w:rPr>
          <w:b/>
        </w:rPr>
        <w:t>E. 11.1</w:t>
      </w:r>
    </w:p>
    <w:p>
      <w:r>
        <w:t>Bei diesem Ausgang des Verfahrens wären die Kosten dem Be- schwerdeführer aufzuerlegen (Art. 63 Abs. 1 VwVG). Da ihm mit Zwischen- verfügung vom 12. August 2020 die unentgeltliche Rechtspflege gewährt wurde, sind keine Verfahrenskosten aufzuerlegen.</w:t>
      </w:r>
    </w:p>
    <w:p>
      <w:r>
        <w:rPr>
          <w:b/>
        </w:rPr>
        <w:t>E. 11.2</w:t>
      </w:r>
    </w:p>
    <w:p>
      <w:r>
        <w:t>Die Rechtsvertreterin hat keine Kostennote zu den Akten gereicht. Der notwendige Vertretungsaufwand lässt sich aufgrund der Akten zuver- lässig abschätzen, weshalb auf die Einholung einer solchen verzichtet wer- den kann (Art. 14 Abs. 2 in fine VGKE). Gestützt auf die in Betracht zu ziehenden Bemessungsfaktoren (Art. 9-13 VGKE) sowie angesichts der Entschädigungspraxis in vergleichbaren Fällen ist der Rechtsvertreterin zulasten der Gerichtskasse ein amtliches Honorar von Fr. 300.- (inkl. Aus- lagen) zuzusprechen. (Dispositiv nächste Seite)</w:t>
      </w:r>
    </w:p>
    <w:p>
      <w:r>
        <w:t>D-3911/2020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