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D-3911/2016 vom 9. April 2018</w:t>
      </w:r>
    </w:p>
    <w:p>
      <w:r>
        <w:t>Bundesverwaltungsgericht, 2018-04-09, DE</w:t>
      </w:r>
    </w:p>
    <w:p>
      <w:r>
        <w:rPr>
          <w:b/>
        </w:rPr>
        <w:t xml:space="preserve">Quelle: </w:t>
      </w:r>
      <w:r>
        <w:t>https://mcp.opencaselaw.ch/entscheid/bvger_D-3911_2016</w:t>
      </w:r>
    </w:p>
    <w:p>
      <w:r>
        <w:t>FR: TAF D-3911/2016 du 9 avril 2018</w:t>
      </w:r>
    </w:p>
    <w:p>
      <w:r>
        <w:t>IT: TAF D-3911/2016 del 9 aprile 2018</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63 Abs. 1 Bst. b AsylG wird die Flüchtlingseigenschaft aberkannt und das Asyl widerrufen, wenn Gründe nach Art. 1C Ziffern 1-6 FK vorliegen. Art. 1C FK beinhaltet die Beendigungsklauseln betreffend den Flüchtlingsstatus. Die Beendigungsgründe in den Ziffern 1-4 der genannten Bestimmung beruhen im Gegensatz zu jenen in den Ziffern 5 und 6 auf einer Veränderung in der Situation des Flüchtlings, welche dieser selber herbeigeführt hat. Namentlich fällt eine Person unter anderem dann nicht mehr unter die Bestimmungen der FK, wenn sie sich freiwillig wieder unter den Schutz des Landes, dessen Staatsangehörigkeit sie besitzt, gestellt hat (Art. 1C Ziff. 1 FK). Diese Ziffer dient als Grund- und Auffangtatbestand, während die Ziffern 2-4 Unterkategorien der Ziffer 1 darstellen. Solche Verhaltensweisen des Flüchtlings, die im Bestreben auf eine Normalisierung der Beziehungen zum Heimatland erfolgen, sind jedoch bloss als Indizien für möglicherweise eingetretene objektive Änderungen zu werten, welche die Asylbehörden nicht von der Prüfung der konkreten Umstände im Heimatland entbinden. Zudem muss in jedem Fall die Verhältnismässigkeit beachtet werden (vgl. Entscheidungen und Mitteilungen der [vormaligen] Schweizerischen Asylrekurskommission [EMARK] 1993 Nr. 22 E. 4b).</w:t>
      </w:r>
    </w:p>
    <w:p>
      <w:r>
        <w:rPr>
          <w:b/>
        </w:rPr>
        <w:t>E. 3.2</w:t>
      </w:r>
    </w:p>
    <w:p>
      <w:r>
        <w:t>Vorliegend ist zu prüfen, ob sich der Beschwerdeführer mit seiner im (...) unbestrittenermassen erfolgten Reise in die VR China freiwillig unter den Schutz des Landes, dessen Staatsangehörigkeit er besitzt, gestellt hat (Art. 1C Ziff. 1 FK). Dafür müssen kumulativ drei Voraussetzungen erfüllt sein: Der Beschwerdeführer muss erstens freiwillig in Kontakt mit seinem Heimatland getreten sein, er muss zweitens beabsichtigt haben, von seinem Heimatland Schutz in Anspruch zu nehmen, und drittens muss ihm dieser Schutz auch tatsächlich gewährt worden sein (BVGE 2010/17 E. 5.1.1 f.). 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stellt nicht jeder Kontakt mit den Heimatbehörden und damit auch nicht jede Heimatreise einen Aberkennungsgrund dar. Deshalb dürfen eine Aberkennung der Flüchtlingseigenschaft und ein Widerruf des Asyls erst dann ausgesprochen werden, wenn die erwähnten drei Voraussetzungen in ihrer Gesamtheit erfüllt sind (BVGE 2010/17 E. 5.1.2; EMARK 1996 Nr. 7 E. 10a S. 62).</w:t>
      </w:r>
    </w:p>
    <w:p>
      <w:r>
        <w:rPr>
          <w:b/>
        </w:rPr>
        <w:t>E. 3.3</w:t>
      </w:r>
    </w:p>
    <w:p>
      <w:r>
        <w:t>Die Beweislast für die Voraussetzungen einer Aberkennung der Flüchtlingseigenschaft liegt nach den allgemeinen Regeln des Verwaltungsrechts bei den asylrechtlichen Behörden, da diese aus den zu beweisenden Tatsachen Rechtsfolgen ableiten wollen.</w:t>
      </w:r>
    </w:p>
    <w:p>
      <w:r>
        <w:rPr>
          <w:b/>
        </w:rPr>
        <w:t>E. 3.4</w:t>
      </w:r>
    </w:p>
    <w:p>
      <w:r>
        <w:t>Bezüglich des Beweismasses ist festzuhalten, dass die Asylbehörden die relevanten Tatsachen grundsätzlich zu beweisen haben. Soweit sich relevante Tatsachen nur mit unverhältnismässigem Aufwand oder mit den den Behörden zur Verfügung stehenden Mitteln gar nicht beweisen lassen, müssen sie mindestens überwiegend wahrscheinlich gemacht werden (analog Art. 7 AsylG).</w:t>
      </w:r>
    </w:p>
    <w:p>
      <w:r>
        <w:rPr>
          <w:b/>
        </w:rPr>
        <w:t>E. 4.1</w:t>
      </w:r>
    </w:p>
    <w:p>
      <w:r>
        <w:t>Der Beschwerdeführer führte an, er sei in die VR China gereist, um dort seinen Töchtern väterliche Ratschläge zu erteilen und deren Betreuung im Hinblick auf den absehbaren Tod seiner schwer erkrankten Mutter neu zu regeln; auch habe er seine Mutter noch einmal sehen wollen.</w:t>
      </w:r>
    </w:p>
    <w:p>
      <w:r>
        <w:rPr>
          <w:b/>
        </w:rPr>
        <w:t>E. 4.2</w:t>
      </w:r>
    </w:p>
    <w:p>
      <w:r>
        <w:t>Es soll nicht verkannt werden, dass es eine schwierige Situation darstellt, als Flüchtling über viele Jahre getrennt von nahen Familienangehörigen zu leben, ohne die Möglichkeit zu haben, diese in der Heimat zu besuchen. Gleichwohl ist daran zu erinnern, dass der Schutz desjenigen Staates, der einer Person den Flüchtlingsstatus gewährt, ein subsidiärer ist. Reist der Betroffene zu einem Besuch seiner Angehörigen in den Heimatstaat, bringt er damit grundsätzlich zum Ausdruck, dass er keiner flüchtlingsrechtlichen Gefährdung seitens seines Heimatstaats mehr ausgesetzt ist und den subsidiären Schutz nicht mehr benötigt, weshalb der entsprechende Status, bei gegebenen Voraussetzungen, zu entziehen ist.</w:t>
      </w:r>
    </w:p>
    <w:p>
      <w:r>
        <w:rPr>
          <w:b/>
        </w:rPr>
        <w:t>E. 4.3</w:t>
      </w:r>
    </w:p>
    <w:p>
      <w:r>
        <w:t>Die Mutter des Beschwerdeführers wurde laut dem bei den Akten befindlichen Arztzeugnis vom (...) aufgrund einer damals durch (...) bedingten (...) im Spital G._______ stationär behandelt. Auch wenn die Wesentlichkeit der gesundheitlichen Beeinträchtigung nicht in Abrede gestellt werden soll, ist vorliegend zu beachten, dass die Mutter trotz der Erkrankung offensichtlich in der Lage war, ihre Herkunftsregion zu verlassen, eine mehrtägige Autofahrt zu unternehmen, sich in einem Hotel in F._______ einzuquartieren und dort den Beschwerdeführer zu treffen. Die Dringlichkeit des Besuchs des Beschwerdeführers im fraglichen Zeitraum (...) wird damit nicht offensichtlich; dies auch unter Berücksichtigung der Tatsache, dass die Mutter auf die Unterstützung durch ihre Tochter und den Schwiegersohn habe zählen können und somit nicht auf sich allein gestellt war. Laut den Ausführungen in der Beschwerdeeingabe kehrte die Mutter nach dem Aufenthalt in F._______ nach Hause zurück und musste sich erst rund ein Jahr später (...) wieder in spitalärztliche Behandlung begeben. Auch der Wunsch nach einem persönlichen Gespräch mit den Töchtern zur Erteilung väterlicher Ratschläge respektive die Notwendigkeit, sich angesichts der Überforderung der erkrankten Mutter um die Regelung der künftigen Betreuung der Töchter zu kümmern, vermag die Dringlichkeit des Besuchs im (...) nicht zu begründen. Der Beschwerdeführer stand und steht eigenen Angaben zufolge in regelmässigem telefonischen Kontakt mit seinen Angehörigen im Heimatland und Ratschläge oder Anordnungen können auch auf diesem Weg übermittelt werden. Aufgrund der vorgebrachten Situation im Zeitpunkt der Reise des Beschwerdeführers kann somit nicht auf einen derart hohen seelischen und moralischen Druck geschlossen werden, dass hierdurch das Kriterium der Freiwilligkeit der Kontaktaufnahme mit dem Heimatland zwecks Ausstellung eines Reisedokuments in Abrede gestellt werden müsste. Im Übrigen weist auch die Dauer des Aufenthalts von einem Monat auf die Freiwilligkeit der Reise des Beschwerdeführers hin.</w:t>
      </w:r>
    </w:p>
    <w:p>
      <w:r>
        <w:rPr>
          <w:b/>
        </w:rPr>
        <w:t>E. 4.4</w:t>
      </w:r>
    </w:p>
    <w:p>
      <w:r>
        <w:t>Hinsichtlich des Kriteriums der Absicht der Unterschutzstellung unter den Heimatstaat ist festzuhalten, dass die Inkaufnahme von Schutzgewährung durch den Heimatstaat grundsätzlich zur Erfüllung dieser Voraussetzung als ausreichend erachtet wird. Praxisgemäss ist bereits die Ausstellung heimatlicher Reisepapiere in der Regel als freiwillige Unterschutzstellung zu qualifizieren (vgl. EMARK 1998 Nr. 29). Unternimmt der Flüchtling indessen heimlich eine Reise in das Heimatland (unter Umgehung der Grenzkontrollen und weitgehend verstecktem Aufenthalt), zeigt er durch dieses Verhalten unter Umständen an, dass ein Kontakt mit Organen des Staates vermieden werden soll, was zur Annahme führen kann, dass eine Unterschutzstellung gerade nicht in Kauf genommen wird. Vorliegend ist aufgrund der Akten indes erstellt, dass sich der Beschwerdeführer am (...) ein heimatliches Reisedokument ausstellen liess und damit legal, das heisst kontrolliert am (...) über den chinesischen Flughafen F._______ in seinen Heimatstaat ein- und am (...) wieder ausgereist ist. Damit hat der Beschwerdeführer zumindest eine bewusste Inkaufnahme der Unterschutzstellung unter den Heimatstaat zugelassen. Der Einwand auf Beschwerdeebene, das Reisedokument sei unauffällig gewesen, da seine Personalien für das chinesische Generalkonsulat in D._______ aufgrund fehlender Register in Tibet nicht überprüfbar gewesen seien, vermag an dieser Einschätzung nichts zu ändern, zumal die vom Beschwerdeführer im Asylverfahren eingereichte chinesische Identitätskarte auf eine Registrierung schliessen lässt. Tatsache ist, dass er im (...) mit einem ihm von der offiziellen chinesischen Vertretung in der Schweiz ausgestellten heimatlichen Reisedokument eine Heimatreise unternommen hat, dies unter Passierung der offiziellen Grenzkontrollen sowohl bei der Ein- als auch bei der Ausreise. Damit hat er eine Unterschutzstellung zumindest in Kauf genommen.</w:t>
      </w:r>
    </w:p>
    <w:p>
      <w:r>
        <w:rPr>
          <w:b/>
        </w:rPr>
        <w:t>E. 4.5</w:t>
      </w:r>
    </w:p>
    <w:p>
      <w:r>
        <w:t>Das Kriterium der effektiven Schutzgewährung ist sodann erfüllt, wenn objektive Anhaltspunkte dafür bestehen, dass die betreffende Person tatsächlich im Heimatland nicht mehr gefährdet ist. Diese Anhaltspunkte können vorwiegend in entsprechenden Handlungen des Heimatstaats beziehungsweise dessen Organen gesehen werden. Aufgrund der Tatsache, dass der Beschwerdeführer problemlos von der offiziellen chinesischen Vertretung in der Schweiz ein heimatliches Reisedokument erhielt, kontrolliert in die VR China einreisen, sich dort während eines Monats besuchshalber aufhalten und in der Folge wieder ungehindert aus dem Land ausreisen konnte, bestehen objektive Anhaltspunkte dafür, dass er in der VR China nicht (mehr) gefährdet beziehungsweise effektiv geschützt war. Die dagegen in den Rechtsmitteleingaben vorgebrachten Einwände sind nicht stichhaltig und vermögen an dieser Einschätzung nichts zu ändern.</w:t>
      </w:r>
    </w:p>
    <w:p>
      <w:r>
        <w:rPr>
          <w:b/>
        </w:rPr>
        <w:t>E. 4.6</w:t>
      </w:r>
    </w:p>
    <w:p>
      <w:r>
        <w:t>Zusammenfassend ist festzuhalten, dass die in Art. 1C Ziff. 1 FK statuierten Voraussetzungen vorliegend erfüllt sind, weshalb die Vorinstanz dem Beschwerdeführer zu Recht gestützt auf Art. 63 Abs. 1 Bst. b AsylG die Flüchtlingseigenschaft aberkannt hat.</w:t>
      </w:r>
    </w:p>
    <w:p>
      <w:r>
        <w:rPr>
          <w:b/>
        </w:rPr>
        <w:t>E. 5.1</w:t>
      </w:r>
    </w:p>
    <w:p>
      <w:r>
        <w:t>Gemäss Art. 84 Abs. 2 AuG (SR 142.20) hebt das SEM die vorläufige Aufnahme - eine Ersatzmassnahme für den nicht durchführbaren Vollzug der rechtskräftig angeordneten Wegweisung - auf und ordnet den Vollzug der Wegweisung an, wenn die Voraussetzungen, die zur Anordnung der vorläufigen Aufnahme geführt haben, nicht mehr gegeben sind.</w:t>
      </w:r>
    </w:p>
    <w:p>
      <w:r>
        <w:rPr>
          <w:b/>
        </w:rPr>
        <w:t>E. 5.2</w:t>
      </w:r>
    </w:p>
    <w:p>
      <w:r>
        <w:t>Der Beschwerdeführer wurde mit Verfügung vom 21. März 2011 vorläufig aufgenommen, weil aufgrund seiner (damals bestehenden) Flüchtlingseigenschaft davon ausgegangen wurde, ein Vollzug der Wegweisung sei unzulässig. Da das SEM - wie vorstehend aufgezeigt - dem Beschwerdeführer berechtigterweise die Flüchtlingseigenschaft aberkannt hat, nachdem dieser in den Heimatstaat gereist ist und sich unter dessen Schutz gestellt hat, ist der Grund für die verfügte vorläufige Aufnahme weggefallen. Vorliegend bleibt damit zu prüfen, ob im heutigen Zeitpunkt Gründe bestehen, die dem Vollzug der rechtskräftig verfügten Wegweisung des Beschwerdeführers entgegenstehen. Erweist sich der Vollzug der Wegweisung als zulässig (Art. 83 Abs. 3 AuG), zumutbar (Art. 83 Abs. 4 AuG) und möglich (Art. 83 Abs. 2 AuG), sind die Voraussetzungen für eine (weitere) vorläufige Aufnahme nicht gegeben.</w:t>
      </w:r>
    </w:p>
    <w:p>
      <w:r>
        <w:rPr>
          <w:b/>
        </w:rPr>
        <w:t>E. 5.2.1</w:t>
      </w:r>
    </w:p>
    <w:p>
      <w:r>
        <w:t>Das SEM wies in der angefochtenen Verfügung vom 20. Mai 2016 zutreffend darauf hin, dass das Prinzip des flüchtlingsrechtlichen Non-Refoulement nur Personen schützt, welche die Flüchtlingseigenschaft erfüllen. Da dies beim Beschwerdeführer nach der Aberkennung der Flüchtlingseigenschaft nicht mehr der Fall ist, kann der in Art. 33 Abs. 1 FK und Art. 5 AsylG verankerte Grundsatz der Nichtrückschiebung im vorliegenden Verfahren keine Anwendung finden. Eine Rückkehr des Beschwerdeführers in den Heimatstaat ist demnach unter dem Aspekt der genannten Bestimmungen rechtmässig. Den Akten sind aufgrund der vorstehenden Erwägungen zur Frage der Aberkennung der Flüchtlingseigenschaft auch keine Anhaltspunkte dafür zu entnehmen, dass der Beschwerdeführer bei einer erneuten Rückkehr in die VR China dort mit beachtlicher Wahrscheinlichkeit einer nach Art. 3 EMRK oder Art. 1 des Übereinkommens vom 10. Dezember 1984 gegen Folter und andere grausame, unmenschliche oder erniedrigende Behandlung oder Strafe (FoK, SR 0.105) verbotenen Strafe oder Behandlung ausgesetzt wäre. Auch die allgemeine Menschenrechtssituation im Heimatstaat lässt den Wegweisungsvollzug zum heutigen Zeitpunkt nicht als unzulässig erscheinen. Der Vollzug erweist sich demnach als zulässig. Die Ausführungen auf Beschwerdeebene zu den Fluchtmotiven des Beschwerdeführers vermögen an diesem Ergebnis nichts zu ändern.</w:t>
      </w:r>
    </w:p>
    <w:p>
      <w:r>
        <w:rPr>
          <w:b/>
        </w:rPr>
        <w:t>E. 5.2.2</w:t>
      </w:r>
    </w:p>
    <w:p>
      <w:r>
        <w:t>Gemäss Art. 83 Abs. 4 AuG kann der Vollzug für Ausländerinnen und Ausländer unzumutbar sein, wenn sie im Heimat- oder Herkunftsstaat aufgrund von Situationen wie Krieg, Bürgerkrieg, allgemeiner Gewalt oder medizinischer Notlage konkret gefährdet sind. Wird eine konkrete Gefährdung festgestellt, ist - unter Vorbehalt von Art. 83 Abs. 7 AuG - die vorläufige Aufnahme zu gewähren. Das Bundesverwaltungsgericht geht davon aus, dass die allgemeine Lage in der VR China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 (vgl. hierzu bspw. die Urteile des BVGer D-4497/2017 vom 9. Februar 2018 E. 9.4.1 und D-1007/2016 vom 26. August 2016 E. 8.5.1). Aus den Akten ergeben sich sodann auch keine konkreten Anhaltspunkte dafür, dass der Beschwerdeführer aus individuellen Gründen wirtschaftlicher, sozialer oder gesundheitlicher Natur bei einer Rückkehr in den Heimatstaat in eine existenzbedrohende Situation geraten würde. Er verfügt im Heimatland über soziale Anknüpfungspunkte. Zudem kann er die in der Schweiz erworbene Arbeitserfahrung vorweisen. Relevante gesundheitliche Probleme gehen aus den Akten nicht hervor. Insgesamt ist somit nicht davon auszugehen, der Beschwerdeführer würde im Heimatland in eine seine Existenz gefährdende Situation geraten, die als konkrete Gefährdung im Sinne der zu beachtenden Bestimmung zu werten wäre (Art. 83 Abs. 4 AuG). Allfällige anfängliche wirtschaftliche Reintegrationsschwierigkeiten stehen im Übrigen dem Vollzug nicht entgegen, da blosse soziale oder wirtschaftliche Schwierigkeiten, von denen die ansässige Bevölkerung betroffen ist (bspw. Mangel an Arbeitsplätzen), keine existenzbedrohende Situation zu begründen vermögen (vgl. BVGE 2010/41 E. 8.3.6).</w:t>
      </w:r>
    </w:p>
    <w:p>
      <w:r>
        <w:rPr>
          <w:b/>
        </w:rPr>
        <w:t>E. 5.2.3</w:t>
      </w:r>
    </w:p>
    <w:p>
      <w:r>
        <w:t>Schliesslich ist der Vollzug der Wegweisung auch als möglich zu bezeichnen (Art. 83 Abs. 2 AuG). Es obliegt dem Beschwerdeführer, sich bei der zuständigen Vertretung des Heimatstaats die für eine Rückkehr notwendigen Reisedokumente zu beschaffen (Art. 8 Abs. 4 AsylG; vgl. hierzu auch BVGE 2008/34 E. 12).</w:t>
      </w:r>
    </w:p>
    <w:p>
      <w:r>
        <w:rPr>
          <w:b/>
        </w:rPr>
        <w:t>E. 5.3</w:t>
      </w:r>
    </w:p>
    <w:p>
      <w:r>
        <w:t>Zusammenfassend hat die Vorinstanz den Wegweisungsvollzug zu Recht als zulässig, zumutbar und möglich bezeichnet. Eine (erneute) Anordnung der vorläufigen Aufnahme fällt somit ausser Betracht (Art. 83 Abs. 1-4 AuG). Das SEM hat die dem Beschwerdeführer am 21. März 2011 gewährte vorläufige Aufnahme zu Recht aufgehoben und den Vollzug der Wegweisung angeordnet.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