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D-3909/2011 vom 8. Februar 2012</w:t>
      </w:r>
    </w:p>
    <w:p>
      <w:r>
        <w:t>Bundesverwaltungsgericht, 2012-02-08, DE</w:t>
      </w:r>
    </w:p>
    <w:p>
      <w:r>
        <w:rPr>
          <w:b/>
        </w:rPr>
        <w:t xml:space="preserve">Quelle: </w:t>
      </w:r>
      <w:r>
        <w:t>https://mcp.opencaselaw.ch/entscheid/bvger_D-3909_2011</w:t>
      </w:r>
    </w:p>
    <w:p>
      <w:r>
        <w:t>FR: TAF D-3909/2011 du 8 février 2012</w:t>
      </w:r>
    </w:p>
    <w:p>
      <w:r>
        <w:t>IT: TAF D-3909/2011 del 8 febbraio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fristgereicht eingereicht und zumindest insoweit auch formgerecht, als sie Begehren, Begründung und Unterschrift des angeblichen Vertreters enthält. Auf die Beschwerde ist daher insofern einzutreten (Art. 105 und Art. 108 Abs. 1 AsylG, Art. 52 VwVG). Vorliegend stellen sich indessen nicht nur Fragen hinsichtlich der Vertretungsbefugnis des keine Vertretungsvollmacht vorlegenden rubrizierten Vertreters, sondern bereits hinsichtlich der Vertretungszugänglichkeit eines Asylgesuchs und der Beschwerdelegitimation überhaupt. Mithin ist im Sinne der Legitimationsvoraussetzungen (Art. 48 Abs. 1 VwVG) zu klären, ob die Beschwerdeführerin am Verfahren vor der Vorinstanz überhaupt teilgenommen hat, entsprechend durch die angefochtene Verfügung besonders berührt ist und somit ein schutzwürdiges Interesse an deren Aufhebung beziehungsweise Änderung haben kann. Diese Fragen werden nachstehend in E. 3. zu erörtern sein.</w:t>
      </w:r>
    </w:p>
    <w:p>
      <w:r>
        <w:rPr>
          <w:b/>
        </w:rPr>
        <w:t>E. 2</w:t>
      </w:r>
    </w:p>
    <w:p>
      <w:r>
        <w:t>Der Umstand, dass das Asylgesuch nicht entsprechend dem Wortlaut in Art. 19 Abs. 1 und Art. 20 AsylG bei einer schweizerischen Vertretung, sondern direkt beim BFM eingereicht wurde, ist nicht massgebend (vgl. in dieser Hinsicht die weiterhin Geltung beanspruchende Praxis der ARK in EMARK 1997 Nr. 15 E. 2b, die sich zwar auf den damaligen Art. 13a AsylG bezieht, jedoch auch nach geltendem Asylgesetz massgeblich bleibt). Insofern wurde daher das vorliegende Asylgesuch zu Recht als Asylgesuch aus dem Ausland anhand genommen.</w:t>
      </w:r>
    </w:p>
    <w:p>
      <w:r>
        <w:rPr>
          <w:b/>
        </w:rPr>
        <w:t>E. 3.1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angeblichen Verhältnis zwischen dem Vertreter und der Beschwerdeführerin handelt es sich um eine gewillkürte Vertretung, zumal aus der Heirat kein gesetzliches Vertretungsrecht erwächst. Das Schweizer Eherecht kann somit nicht zur Begründung einer gesetzlichen Vertretungsbefugnis herangezogen werden: Der diesbezüglich relevante Art. 166 des Schweizerischen Zivilgesetzbuchs vom 10. Dezember 1907 (ZGB, SR 210) stellt im Wortlaut und mangels anderslautender Auslegungsergebnisse in Literatur (vgl. Peter Tuor/Bernhard Schnyder/Jörg Schmid/Alexandra Rumo-Jungo, Das Schweizerische Zivilgesetzbuch, 13. Aufl., Zürich 2009, S. 326 f.; Bernhard Isenring/Martin A. Kessler, in: Basler Kommentar zum ZGB I, 4. Aufl., Basel 2010, S. 990 ff.) und Praxis klar, dass es um eine (bloss unechte) Vertretung der ehelichen Gemeinschaft durch den einen oder anderen Ehepartner und einzig für familiäre Bedürfnisse geht (welche Solidarhaftung begründet), nicht aber um eine (echte) Vertretung des einen durch den anderen. Die gewillkürte Vertretung einer Partei durch einen frei bestimmten Dritten ist unter Vorbehalt des Erfordernis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weiterführenden Hinweisen).</w:t>
      </w:r>
    </w:p>
    <w:p>
      <w:r>
        <w:rPr>
          <w:b/>
        </w:rPr>
        <w:t>E. 3.2</w:t>
      </w:r>
    </w:p>
    <w:p>
      <w:r>
        <w:t>Festzustellen ist zunächst, dass der angebliche Vertreter im gesamten bisherigen Verfahren nie eine Vertretungsvollmacht vorgelegt hat und er hierzu vom BFM auch nie aufgefordert wurde. Bei der Frage über die Vertretungsbefugnis geht es um die Prüfung der Verfahrensvoraussetzungen. Konkret geht es darum, ob das Stellen eines Asylgesuchs vertretungszugänglich ist.</w:t>
      </w:r>
    </w:p>
    <w:p>
      <w:r>
        <w:rPr>
          <w:b/>
        </w:rPr>
        <w:t>E. 3.3.1</w:t>
      </w:r>
    </w:p>
    <w:p>
      <w:r>
        <w:t>Das Gericht hält vorab fest, dass die Beschwerdeführerin im ganzen bisherigen Verfahren und insbesondere im gesamten erstinstanzlichen Verfahren nie persönlich aufgetreten ist, sei dies beispielsweise als Verfasserin ihres eigenen Asylgesuchs, als Direktbeteiligte an einer Befragung oder Anhörung oder in anderer Weise. Vielmehr hat stets der Vertreter für sie gehandelt. Angesichts dessen und in Berücksichtigung des zuvor unter E. 3.2. Erwogenen sind nicht unerhebliche Zweifel angebracht, ob die Beschwerdeführerin überhaupt jemals als Asylgesuchstellerin an die schweizerischen Behörden herangetreten ist und - bejahendenfalls - ob die schriftlich geltend gemachten Verfolgungsgründe tatsächlich die ihrigen sind. Entsprechende Zweifel sind daher auch unter dem Aspekt eines potenziellen Missbrauchs des Asylrechts angebracht. Zu denken ist beispielsweise an die Möglichkeit, dass die sich Vertretungsbefugnis anmassenden Personen unter dem Titel Asyl in Umgehung der asylrechtlichen und ausländerrechtlichen Bestimmungen die Einreise von Ausländerinnen und Ausländern in die Schweiz erwirken könnten, ohne dass die ausländische Person überhaupt Verfolgungsgründe geltend zu machen gedenkt, geschweige denn hat.</w:t>
      </w:r>
    </w:p>
    <w:p>
      <w:r>
        <w:rPr>
          <w:b/>
        </w:rPr>
        <w:t>E. 3.3.2</w:t>
      </w:r>
    </w:p>
    <w:p>
      <w:r>
        <w:t>Gemäss Art. 11 Abs. 1 VwVG kann sich eine Partei, wenn sie nicht persönlich zu handeln hat, auf jeder Stufe des Verfahrens vertreten lassen. Als Einschränkung sind, wie oben (E. 3.1.) gesehen, Verfahrenshandlungen von der Möglichkeit der Vertretung ausgenommen, die eine persönliche Mitwirkung des oder der Vertretenen erfordern, entweder weil es gesetzlich vorgeschrieben ist (z.B. die Anhörung zu den Asylgründen nach Art. 29 AsylG) oder - etwa betreffend die Mitwirkung bei daktyloskopischen Erhebungen - weil die Verfahrenshandlungen der Natur der Sache nach nur von ihm ausgehen können. 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ZGB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 Nach dem Gesagten setzt die Initiierung eines Asylverfahrens aus dem Ausland durch die urteilsfähige (mündige oder unmündige) Person prinzipiell einen persönlichen Antrag derselben voraus (vgl. zur Publikation vor­gesehenes Urteil BVGE E-3162/2011 vom 6. Dezember 2011 E. 4.3.2., sowie im Grundsatz auch die Urteile D-239/2010 vom 4. Juni 2010 [E. 3], E-1147/2010 vom 5. März 2010 [S. 6 f.], D-591/2009 vom 24. Februar 2009 [E. 4] oder E 490/2009 vom 23. Februar 2009 [S. 5 f.] des Bundesverwaltungsgerichts).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(vgl. vorliegend die Aktenstücke B2 und B4)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Im vorliegenden Fall ist die Beschwerdeführerin aber im ganzen bisherigen Verfahren und insbesondere im gesamten erstinstanzlichen Verfahren nie in irgendeiner Weise persönlich vor einer schweizerischen Asylbehörde im In- oder Ausland aufgetreten. Somit steht für das Bundesverwaltungsgericht aufgrund der sich präsentierenden Aktenlage nicht fest, ob sie überhaupt ein ihrer Intention entsprechendes Asylgesuch stellen wollte und will. Damit bleibt zudem unklar, ob sie selber überhaupt als Gesuchstellerin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dem angeblichen Vertreter eine Mitteilung betreffend die Nichtanhandnahme des Asylgesuchs infolge fehlender höchstpersönlicher Einreichung zu machen hat.</w:t>
      </w:r>
    </w:p>
    <w:p>
      <w:r>
        <w:rPr>
          <w:b/>
        </w:rPr>
        <w:t>E. 3.3.3</w:t>
      </w:r>
    </w:p>
    <w:p>
      <w:r>
        <w:t>Aus dem Erwogenen wird nunmehr klar, dass sich die nachgelagerte Frage, ob der angebliche Vertreter überhaupt zur Beschwerdeführung vor dem Bundesverwaltungsgericht befugt ist, vorliegend gar nicht stellt. Dementsprechend hatte das Gericht keine Veranlassung, eine gültige Vollmacht nachzufordern, denn deren Nachreichung hätte den Mangel eines nicht höchstpersönlichen Auftretens der Beschwerdeführerin im Zusammenhang mit ihrem erstinstanzlichen Asylgesuch nicht beheben können.</w:t>
      </w:r>
    </w:p>
    <w:p>
      <w:r>
        <w:rPr>
          <w:b/>
        </w:rPr>
        <w:t>E. 3.4</w:t>
      </w:r>
    </w:p>
    <w:p>
      <w:r>
        <w:t>Zusammenfassend ist festzustellen, dass das Bundesamt die Höchstpersönlichkeit des Rechts zum Stellen eines Asylgesuchs verkennt und - unbesehen der ungenügend abgeklärten Vertretungsbefugnis des angeblichen Vertreters - mithin eine Verfügung erlassen hat, die mangels zureichender Prüfung der Verfahrensvoraussetzungen nicht hätte ergehen dürfen.</w:t>
      </w:r>
    </w:p>
    <w:p>
      <w:r>
        <w:rPr>
          <w:b/>
        </w:rPr>
        <w:t>E. 4</w:t>
      </w:r>
    </w:p>
    <w:p>
      <w:r>
        <w:t>Aus diesen Erwägungen ergibt sich, dass die angefochtene Verfügung Bundesrecht verletzt sowie den rechtserheblichen Sachverhalt unrichtig und unvollständig feststellt (Art. 106 AsylG). Die angefochtene Verfügung ist daher von Amtes wegen aufzuheben. Die Sache geht zurück an das BFM zur Wiederaufnahme oder allenfalls Beendigung des erstinstanzlichen Asylverfahrens.</w:t>
      </w:r>
    </w:p>
    <w:p>
      <w:r>
        <w:rPr>
          <w:b/>
        </w:rPr>
        <w:t>E. 5.1</w:t>
      </w:r>
    </w:p>
    <w:p>
      <w:r>
        <w:t>Bei diesem Ausgang des Verfahrens sind weder der Beschwerdeführerin, noch deren angeblichem Vertreter noch dem BFM Kosten aufzuerlegen (Art. 63 Abs. 1 und 2 VwVG), und der am 19. Juli 2011 geleistete Kostenvorschuss im Betrag von Fr. 600 .- ist der Beschwerdeführerin zurück zu erstatten.</w:t>
      </w:r>
    </w:p>
    <w:p>
      <w:r>
        <w:rPr>
          <w:b/>
        </w:rPr>
        <w:t>E. 5.2</w:t>
      </w:r>
    </w:p>
    <w:p>
      <w:r>
        <w:t>Anlass zur Ausrichtung einer Parteientschädigung nach Art. 64 VwVG besteht ungeachtet der Frage, ob durch die Beschwerdeführung überhaupt notwendige und verhältnismässig hohe Kosten entstanden sind, nicht: Zwar ist die Beschwerde 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sinngemässen Anträge Gewährung des Asyls und Einreisebewilligung sind aufgrund der aus formellen Gründen erfolgten Kassation gar nicht zur Beurteilung gelangt.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