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D-3902/2011 vom 23. November 2012</w:t>
      </w:r>
    </w:p>
    <w:p>
      <w:r>
        <w:t>Bundesverwaltungsgericht, 2012-11-23, DE</w:t>
      </w:r>
    </w:p>
    <w:p>
      <w:r>
        <w:rPr>
          <w:b/>
        </w:rPr>
        <w:t xml:space="preserve">Quelle: </w:t>
      </w:r>
      <w:r>
        <w:t>https://mcp.opencaselaw.ch/entscheid/bvger_D-3902_2011</w:t>
      </w:r>
    </w:p>
    <w:p>
      <w:r>
        <w:t>FR: TAF D-3902/2011 du 23 novembre 2012</w:t>
      </w:r>
    </w:p>
    <w:p>
      <w:r>
        <w:t>IT: TAF D-3902/2011 del 23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den Rechtsbegehren - unter Berück­sichtigung der Begründung -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Der Beschwerdeführer macht in formeller Hinsicht geltend, dass eine Verletzung der Begründungspflicht vorliege, da es die Vorinstanz unter­lassen habe, die relevanten Herkunftsländerinformationen, auf wel­che sie ihren Entscheid stütze, offenzulegen. Zudem sei sie in der ange­fochtenen Verfügung ohne ausreichende Begründung von der langjähri­gen Praxis des Bundesverwaltungsgerichts abgewichen. Daher sei die angefochtene Verfügung im Ausmass der Anfechtung zur Neubeurtei­lung der Sache an das BFM zurückzuweisen.</w:t>
      </w:r>
    </w:p>
    <w:p>
      <w:r>
        <w:rPr>
          <w:b/>
        </w:rPr>
        <w:t>E. 4.2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4.3.1</w:t>
      </w:r>
    </w:p>
    <w:p>
      <w:r>
        <w:t>Das BFM hat dem Bundesverwaltungsgericht am 22. Dezember 2011 die verlangte Zusammenfassung der Ergebnisse der Dienstreise nach Sri Lanka vom September 2010 übermittelt. Davon wurde dem Be­schwerdeführer unter Fristansetzung zur Beschwerdeergänzung mit Zwi­schenverfügung vom 14. September 2012 eine Kopie übermittelt. Mit Ein­gabe seines Rechtsvertreters vom 1. Oktober 2012 nahm der Beschwerde­führer zum Dienstreisebericht des BFM Stellung. Demnach ist dem Anspruch des Beschwerdeführers auf rechtliches Gehör, soweit die­ser als verletzt zu erkennen war, im Rahmen des Instruktionsverfah­rens in ausreichender Weise Genüge getan worden. Der genannte Ver­fahrens­mangel ist demnach als geheilt zu erachten.</w:t>
      </w:r>
    </w:p>
    <w:p>
      <w:r>
        <w:rPr>
          <w:b/>
        </w:rPr>
        <w:t>E. 4.3.2</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4.3.3</w:t>
      </w:r>
    </w:p>
    <w:p>
      <w:r>
        <w:t>Bezüglich der Rüge in der Rechtsmittelschrift, wonach eine Verlet­zung der Begründungspflicht und des Anspruchs der Beschwerdeführen­den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(vgl. E. 7.2 nachstehend). In­wiefern das BFM mit seinem Vorgehen die Begründungspflicht verletzt ha­ben soll, ist in Anbetracht der insgesamt ausgewogenen und differenzier­ten Erwägungen in der angefochtenen Verfügung ohnehin nicht ersichtlich.</w:t>
      </w:r>
    </w:p>
    <w:p>
      <w:r>
        <w:rPr>
          <w:b/>
        </w:rPr>
        <w:t>E. 4.4</w:t>
      </w:r>
    </w:p>
    <w:p>
      <w:r>
        <w:t>Bei dieser Sachlage besteht somit keine Veranlassung, die angefoch­tene Verfügung aus formellen Gründen aufzuheben, weshalb das Begeh­ren des Beschwerdeführers, der Entscheid vom 8. Juni 2011 sei in den Dispositivpunkten 3, 4 und 5 (recte: 4 und 5) aufzuheben und zur Neubeur­teilung der Sache an das BFM zurückzuweisen, abzuweisen ist. Der festgestellte Verfahrensmangel wird indessen im Kosten- und Entschä­digungspunkt zu berücksichtigen sein (vgl. nachfolgend E. 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E.10.2.).</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6.3.2</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6.3.3</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6.3.4</w:t>
      </w:r>
    </w:p>
    <w:p>
      <w:r>
        <w:t>Eine entsprechende konkrete Gefahr, die dem Beschwerdeführer dro­hen könnte, ist jedoch nicht ersichtlich. So wurde bereits rechts­kräftig festgestellt, dass die angeblichen Kontrollen durch die Sicherheitskräfte und die Drohungen sowie Misshandlungen durch Drittpersonen im Zeit­punkt des vorinstanzlichen Entscheids nicht auf begründete Furcht vor ernst­haften Nachteilen im Falle der Rückkehr ins Heimatland schliessen las­sen würden. Vielmehr erwog die Vorinstanz in ihrer Verfügung vom 8. Juni 2011, die Asylvorbrin­gen des Beschwerdeführers hielten den Anforde­rungen an die Flüchtlingsei­genschaft gemäss Art. 3 AsylG nicht stand, da die Behörden kriminelle Akte mittlerweile ahnden würden. Diese Qualifikation blieb - bezogen auf den Asylpunkt - unan­gefochten. Ferner lässt sich den Akten die vom Beschwerdeführer gel­tend gemachte Nähe von Angehörigen zur LTTE nicht konkret entneh­men. Namhafte eigene diesbezügliche Aktivitäten macht er nicht geltend, und das Schreiben eines Friedensrichters vom 28. März 2008 im Hinblick auf den offenbar am (...) erfolgten Tod des Vaters lässt in kei­ner Weise schlüssig eine LTTE-Nähe der Familie erkennen. Den weiteren Beweismitteln ist ebenfalls kein allfälliges Risikoprofil zu entnehmen; sie be­legen allenfalls Ereignisse wie namentlich gewisse Verfolgungshandlun­gen, vermögen aber keine relevante Gefährdung im ak­tuellen Zeitpunkt im Hinblick auf die Zulässigkeit des Vollzugs glaubhaft zu machen. Auch im Übrigen lassen sich den Akten keine konkreten Hin­weise auf eine drohende menschenrechtswid­rige Behandlung des Be­schwerdeführers wegen ihm unterstellter LTTE-Nähe entnehmen. Dass bei abgewiesenen Asylsuchen­den bei der Wiedereinreise eine gewisse Ge­fährdung im Sinne der Be­schwer­devor­bringen besteht, ist aufgrund der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die Familienangehörigen weiter­hin in Sri Lanka, ohne dass der Beschwerdeführer hätte glaubhaft ma­chen können, sie seien aktuell ernsthaft gefährdet. Zudem hat er sein Heimatland offenbar mit dem eigenen Pass verlassen können.</w:t>
      </w:r>
    </w:p>
    <w:p>
      <w:r>
        <w:rPr>
          <w:b/>
        </w:rPr>
        <w:t>E. 6.3.5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7.3</w:t>
      </w:r>
    </w:p>
    <w:p>
      <w:r>
        <w:t>Der Beschwerdeführer macht geltend, aus C._______ beziehungsweise E._______ (D._______) zu stammen. Eine Rück­kehr dorthin ist nach neuer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7.4</w:t>
      </w:r>
    </w:p>
    <w:p>
      <w:r>
        <w:t>Gemäss Aktenlage wohnen die Mutter und ein Bruder des Beschwerde­führers nach wie vor in E._______. Er arbeitete in einem Laden­lokal und besuchte vorher längere Zeit die Schule. Der verstorbene Vater verfügte offenbar über einen gewissen Wohlstand, und auch ein On­kel aus J._______ soll geholfen haben (A 1/9 S. 2 f.; A 10/16 Antwor­ten 19 ff.). In der Schweiz war der Beschwerdeführer erwerbstätig. Er ver­fügt in seinem Heimatstaat über ein familiäres Beziehungsnetz, wel­ches ihm eine sozi­ale und wirtschaftliche Wiedereingliederung ermögli­chen kann. Medizini­sche Leiden wie Asthma und Hauterkrankungen können vor Ort im Bedarfs­fall weiterbehandelt werden. Auch die Fortsetzung der ambulan­ten psychiatrischen Behandlung ist in Sri Lanka möglich. Zudem kann er al­lenfalls medizinische Rückkehrhilfe beantragen. Ins­gesamt ist demnach nicht davon auszugehen, er könnte vor Ort in eine existenzgefährdende Si­tuation geraten.</w:t>
      </w:r>
    </w:p>
    <w:p>
      <w:r>
        <w:rPr>
          <w:b/>
        </w:rPr>
        <w:t>E. 7.5</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 Es erübrigt sich, auf weitere Beschwerdevorbringen hin­sichtlich der allgemeinen Situation in Sri Lanka detaillierter einzugehen.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Die Kosten des Verfahrens sind grundsätzlich dem unterliegenden Be­schwerdeführer aufzuerlegen (Art. 63 Abs. 1 und 5 VwVG). Indessen wurde ihm erst im Rahmen des Instruktionsverfahrens Einsicht in die Ergeb­nisse der Dienstreise des BFM nach Sri Lanka vom September 2010 gewährt. Insofern wurde in der Beschwerde zu Recht ein Verfahrens­mangel gerügt, dieser jedoch durch die Rechtsmittelinstanz ge­heilt (vgl. E. 4.4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w:t>
      </w:r>
    </w:p>
    <w:p>
      <w:r>
        <w:rPr>
          <w:b/>
        </w:rPr>
        <w:t>E. 11.2</w:t>
      </w:r>
    </w:p>
    <w:p>
      <w:r>
        <w:t>Angesichts des soeben Gesagten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Der Beschwerdeführer hat keine Kostennote einreichen lassen. Die Partei­entschädigung ist jedoch aufgrund des zuverlässig abschätzbaren Zeitaufwandes ihres Rechtsvertreters und der praxisgemässen Bemes­sungsfaktoren (Art. 16 Abs. 1 Bst. a VGG i.V.m. Art. 8, Art. 10 Abs. 2 und Art. 14 Abs. 2 VGKE) auf insgesamt Fr. 400.- (inklusive Auslagen und allfäl­lige Mehrwertsteuer) festzusetzen und vom BFM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