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D-3900/2016 vom 23. Mai 2018</w:t>
      </w:r>
    </w:p>
    <w:p>
      <w:r>
        <w:t>Bundesverwaltungsgericht, 2018-05-23, DE</w:t>
      </w:r>
    </w:p>
    <w:p>
      <w:r>
        <w:rPr>
          <w:b/>
        </w:rPr>
        <w:t xml:space="preserve">Quelle: </w:t>
      </w:r>
      <w:r>
        <w:t>https://mcp.opencaselaw.ch/entscheid/bvger_D-3900_2016</w:t>
      </w:r>
    </w:p>
    <w:p>
      <w:r>
        <w:t>FR: TAF D-3900/2016 du 23 mai 2018</w:t>
      </w:r>
    </w:p>
    <w:p>
      <w:r>
        <w:t>IT: TAF D-3900/2016 del 23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beziehungsweise zugefügt zu werden drohen (vgl. BVGE 2008/4 E. 5.2). Eine bloss entfernte Möglichkeit künftiger Verfolgung genügt nicht, sondern vielmehr müssen konkrete Indizien die Furcht vor erwarteten Benachteiligungen realistisch und nachvollziehbar erscheinen lassen (vgl. BVGE 2010/57 E. 2.5, 2010/44 E. 3.4).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 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wurden. Personen, die subjektive Nachfluchtgründe nachweisen oder glaubhaft machen können, werden hingegen als Flüchtlinge vorläufig aufgenommen (vgl. dazu BVGE 2009/28 E. 7.1). Zwar sind Personen, die Gründe geltend machen, die wegen ihres Verhaltens nach der Ausreise entstanden und die weder Ausdruck noch Fortsetzung einer bereits im Heimat- oder Herkunftsstaat bestehenden Überzeugung oder Ausrichtung sind, gemäss Art. 3 Abs. 4 AsylG keine Flüchtlinge, jedoch wird diese einschränkende Feststellung durch den ausdrücklichen Vorbehalt der FK wieder relativiert (Art. 3 Abs. 4 in fine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2015/3 E. 6.5.1, 2013/11 E. 5.1).</w:t>
      </w:r>
    </w:p>
    <w:p>
      <w:r>
        <w:rPr>
          <w:b/>
        </w:rPr>
        <w:t>E. 4.1</w:t>
      </w:r>
    </w:p>
    <w:p>
      <w:r>
        <w:t>Das SEM erachtete die Vorbringen des Beschwerdeführers als den Anforderungen an die Flüchtlingseigenschaft gemäss Art. 3 AsylG und denjenigen an die Glaubhaftigkeit gemäss Art. 7 AsylG nicht genügend. Das Bundesverwaltungsgericht kommt nach Prüfung der Akten zum Schluss, dass dieser Einschätzung im Ergebnis beizupflichten ist (vgl. die nachfolgenden Ausführungen).</w:t>
      </w:r>
    </w:p>
    <w:p>
      <w:r>
        <w:rPr>
          <w:b/>
        </w:rPr>
        <w:t>E. 4.2</w:t>
      </w:r>
    </w:p>
    <w:p>
      <w:r>
        <w:t>Vorab ist festzustellen, dass die Asylvorbringen in Bezug auf das Heimatland des Beschwerdeführers (Afghanistan) zu prüfen sind. Die Vorbringen bezüglich seiner Situation im Drittstaat C.________, den er wegen fehlender Zukunftsperspektiven aufgrund der Papierlosigkeit verlassen habe, sind hingegen asylrechtlich nicht relevant und nicht weiter zu berücksichtigen.</w:t>
      </w:r>
    </w:p>
    <w:p>
      <w:r>
        <w:rPr>
          <w:b/>
        </w:rPr>
        <w:t>E. 4.3</w:t>
      </w:r>
    </w:p>
    <w:p>
      <w:r>
        <w:t>Hinsichtlich der vom Beschwerdeführer geltend gemachten Flucht aus Afghanistan im Alter von elf oder zwölf Jahren (mithin [...]) nach einem für seine Eltern und seinen Bruder tödlich endenden Angriff der Taliban, ist nochmals darauf hinzuweisen, dass die Gewährung des Asyls den Schutz vor künftiger Verfolgung bezweckt, und nicht dazu dienen kann, einen Ausgleich für vergangenes Unrecht zu schaffen (vgl. BVGE 2008/4 E. 5.4). Für die Beurteilung der Flüchtlingseigenschaft nach Art. 3 AsylG ist die Situation im Zeitpunkt des Asylentscheids massgeblich. Unabhängig von der Frage der Glaubhaftigkeit des geschilderten Überfalls der Taliban (...), der seinem Bruder gegolten habe, vermag der Beschwerdeführer keine begründete Furcht vor einer heutigen gezielten Verfolgung seiner Person darzulegen. Aus den Akten ergeben sich keine konkreten Hinweise für die Annahme, dass der Beschwerdeführer im heutigen Zeitpunkt, nach über zwanzigjähriger Landesabwesenheit und nachdem seit (...) keine Angehörigen mehr in Afghanistan leben würden (vgl. B7 S. 6 [Eltern und Brüder gestorben, Schwester im C.________]), persönlich im Visier der Taliban stehen und ihm eine asylrechtlich relevante (Reflex-)Verfolgung drohen würde.</w:t>
      </w:r>
    </w:p>
    <w:p>
      <w:r>
        <w:rPr>
          <w:b/>
        </w:rPr>
        <w:t>E. 4.4</w:t>
      </w:r>
    </w:p>
    <w:p>
      <w:r>
        <w:t>Des Weiteren machte der Beschwerdeführer geltend, er müsse im Falle einer Rückkehr nach Afghanistan wegen der gegen den Willen des Schwiegervaters im Jahr 2003 erfolgten Heirat mit Vergeltung seitens der Familie der Ehefrau rechnen. Diesbezüglich ist festzustellen, dass selbst wenn der Schwiegervater die Beziehung auch nach über fünfzehnjährigem Bestehen und der Geburt von zwei Kindern immer noch missbilligen sollte, sich den Akten keine konkreten Hinweise entnehmen lassen, wonach dem Beschwerdeführer im heutigen Zeitpunkt seitens der Familie der Ehefrau ernsthafte Nachteile flüchtlingsrechtlicher Intensität drohen würden, zumal sich die vom Schwiegervater geplante Vermählung der Tochter mit einem älteren Cousin im Jahr 2003 noch nicht konkretisiert gehabt und zur besagten Familie während über fünfzehn Jahren keinerlei Kontakt mehr bestanden habe. Im Übrigen ist der geltend gemachten Furcht vor einem Racheakt wegen Beeinträchtigung der Familienehre in Ermangelung eines asylbeachtlichen Verfolgungsmotivs im Sinne von Art. 3 AsylG die Asylrelevanz abzusprechen.</w:t>
      </w:r>
    </w:p>
    <w:p>
      <w:r>
        <w:rPr>
          <w:b/>
        </w:rPr>
        <w:t>E. 4.5</w:t>
      </w:r>
    </w:p>
    <w:p>
      <w:r>
        <w:t>Es bleibt zu prüfen, ob der Beschwerdeführer aufgrund des geltend gemachten subjektiven Nachfluchtgrunds der Konversion zum Christentum, welche im (...) in D.________ erfolgt sei, bei einer (hypothetischen) Rückkehr nach Afghanistan begründete Furcht vor flüchtlingsrechtlich relevanter Verfolgung im Sinne von Art. 3 AsylG hat.</w:t>
      </w:r>
    </w:p>
    <w:p>
      <w:r>
        <w:rPr>
          <w:b/>
        </w:rPr>
        <w:t>E. 4.5.1</w:t>
      </w:r>
    </w:p>
    <w:p>
      <w:r>
        <w:t>Im als Referenzurteil publizierten Urteil D-4952/2014 vom 23. August 2017 hielt das Bundesverwaltungsgericht unter anderem fest, dass Gläubige anderer Religionen als des Islams gemäss der afghanischen Verfassung ihren Glauben innerhalb der gesetzlichen Grenzen frei ausüben könnten. Die afghanische Verfassung bezeichne den Islam jedoch gleichzeitig explizit als offizielle Staatsreligion und bestimme, dass keine andere Religion den Grundsätzen und Regeln des Islams zuwiderlaufen dürfe. Zwar werde Apostasie im afghanischen Strafgesetzbuch nicht als Straftat definiert, falle aber nach afghanischer Rechtsauffassung unter die nicht weiter definierten ,ungeheuerlichen Straftaten', die laut Strafgesetzbuch nach der Hanafi-Rechtslehre bestraft würden. Gemäss dieser Hanafi-Rechtslehre würden Frauen lebenslang respektive bis zum Widerruf der Konversion in Haft genommen und Männer enthauptet. Werde die Todesstrafe nicht verhängt, seien die daneben vorgesehenen strafrechtlichen sowie auch gesellschaftlichen Konsequenzen äusserst hart. Die Äusserung von nicht-religiösen Überzeugungen werde verfolgt oder schlicht durch soziale Zwänge verunmöglicht, wobei die soziale Kontrolle und der soziale Druck in Afghanistan gross seien. Im genannten Referenzurteil wurde der Schluss gezogen, dass Personen, deren Apostasie öffentlich bekannt werde, objektiv begründete Furcht vor Nachteilen im Sinne von Art. 3 AsylG hätten. Es sei zu prüfen, inwieweit von einer Person vernünftigerweise erwartet werden könne, die drohende Verfolgung durch das eigene (diskrete) Verhalten abzuwenden oder ob solches für sie zu einem unerträglichen psychischen Druck führe (vgl. das Referenzurteil D-4952/2014 vom 23. August 2017 E. 7.5.5 f.; ferner bspw. die Urteile des BVGer E-5377/2015 vom 26. Februar 2018, E. 5.2 und D-1267/2016 vom 26. März 2018 E. 8.3).</w:t>
      </w:r>
    </w:p>
    <w:p>
      <w:r>
        <w:rPr>
          <w:b/>
        </w:rPr>
        <w:t>E. 4.5.2</w:t>
      </w:r>
    </w:p>
    <w:p>
      <w:r>
        <w:t>Vorliegend ergeben sich aufgrund der Aktenlage keine hinreichend konkreten Anhaltspunkte für die Annahme einer begründeten Furcht, ernsthaften Nachteilen im Sinne von Art. 3 Abs. 2 AsylG ausgesetzt zu werden. Anders als im zitierten Referenzurteil D-4952/2014 weist der Beschwerdeführer ein deutlich schwächeres persönliches Profil auf. Aus den Akten ergeben sich keine Hinweise auf exponierende Glaubensbezeugungen. Die Fotos der Taufe, welche am (...) in D.________ erfolgt sei, zeigen, dass das Ereignis in einem geschlossenen Raum, in Anwesenheit nur weniger Personen stattgefunden hat. Hierzulande macht der Beschwerdeführer lediglich Gottesdienstbesuche respektive die wöchentliche Teilnahme an einem (...) einer (...) geltend. Es ist demnach davon auszugehen, dass er seinen Glauben diskret lebt. Daran vermag auch die Teilnahme des Sohnes an einem von der (...) organisierten (...) nichts zu ändern. Es bestehen keine genügenden Anhaltspunkte für die Annahme, in Afghanistan wisse jemand von der Konversion des Beschwerdeführers, und es ist nicht anzunehmen, dass Personen, die den Beschwerdeführer im Rahmen seiner hiesigen Aktivitäten treffen, seine Konversion in Afghanistan preisgeben würden, zumal es sich dabei ebenfalls um Christen (und allfällige Konvertiten) handelt. Die vom Beschwerdeführer geäusserte Vermutung, die von ihm auf dem Personalienblatt im EVZ eingetragene Konfession (Christ) dürfte sich früher oder später bis zu seinem Schwiegervater nach Afghanistan herumsprechen, vermag nicht zu überzeugen. Laut eigenen Angaben hat der Beschwerdeführer seinen Schwiegervater lediglich zwei Mal im C.________ persönlich getroffen und weder er noch seine Ehefrau hätten seit dem Jahr 2003 jemals wieder Kontakt zu ihm gehabt. Eigene Verwandte hat der Beschwerdeführer in Afghanistan nicht. Es ist daher nicht davon auszugehen, dass seine Konversion dort bekannt wird und es ist ihm zuzumuten, im Falle einer Rückkehr in sein Heimatland seinen Glauben weiterhin diskret zu leben, ohne dass für ihn ein unerträglicher psychischer Druck entstehen würde.</w:t>
      </w:r>
    </w:p>
    <w:p>
      <w:r>
        <w:rPr>
          <w:b/>
        </w:rPr>
        <w:t>E. 4.5.3</w:t>
      </w:r>
    </w:p>
    <w:p>
      <w:r>
        <w:t>Der Beschwerdeführer erfüllt damit die Voraussetzungen für die Zuerkennung der Flüchtlingseigenschaft gemäss Art. 3 AsylG auch unter dem Aspekt subjektiver Nachfluchtgründe gemäss Art. 54 AsylG nicht.</w:t>
      </w:r>
    </w:p>
    <w:p>
      <w:r>
        <w:rPr>
          <w:b/>
        </w:rPr>
        <w:t>E. 4.6</w:t>
      </w:r>
    </w:p>
    <w:p>
      <w:r>
        <w:t>Zusammenfassend ist festzuhalten, dass es dem Beschwerdeführer nicht gelungen ist, asylrechtlich relevante Verfolgungsgründe im Sinne von Art. 3 AsylG nachzuweisen oder zumindest glaubhaft zu machen. Die Vorinstanz hat damit die Flüchtlingseigenschaft zu Recht verneint und das Asylgesuch entsprechend abgelehnt. Es erübrigt sich, auf die weiteren Ausführungen in den Rechtsmitteleingaben näher einzugehen, da sie an der vorliegenden Würdigung des Sachverhalts nichts zu ändern vermögen.</w:t>
      </w:r>
    </w:p>
    <w:p>
      <w:r>
        <w:rPr>
          <w:b/>
        </w:rPr>
        <w:t>E. 5.1</w:t>
      </w:r>
    </w:p>
    <w:p>
      <w:r>
        <w:t>Lehnt die Vorinstanz das Asylgesuch ab oder tritt sie darauf nicht ein, verfügt sie in der Regel die Wegweisung und ordnet den Vollzug an; sie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5.3</w:t>
      </w:r>
    </w:p>
    <w:p>
      <w:r>
        <w:t>Präzisierend ist festzuhalten, dass sich aus den vorstehenden Erwägungen nicht der Schluss ergibt, der Beschwerdeführer sei zum heutigen Zeitpunkt in seinem Heimatstaat nicht gefährdet. Eine solche Gefährdung ist aber nur unter dem Aspekt von Art. 83 Abs. 3 oder 4 AuG (SR 142.20) zu prüfen, wonach der Wegweisungsvollzug für ausländische Personen nicht zulässig ist, wenn völkerrechtliche Verpflichtungen der Schweiz einer Weiterreise in den Heimat-, Herkunfts- oder in einen Drittstaat entgegenstehen, beziehungsweise unzumutbar sein kann, wenn sie im Heimat- oder Herkunftsstaat aufgrund von Situationen wie Krieg, Bürgerkrieg, allgemeiner Gewalt und medizinischer Notlage konkret gefährdet sind. Der Gefährdung des Beschwerdeführers aufgrund der aktuellen Situation in Afghanistan wurde durch das SEM mit der Anordnung der vorläufigen Aufnahme wegen Unzumutbarkeit des Wegweisungsvollzugs Rechnung getragen. Da die Vollzugshindernisse alternativer Natur sind (vgl. BVGE 2009/51 E. 5.4), ist vorliegend die Frage der Zulässigkeit des Wegweisungsvollzugs nicht zu prüfen. Im Rahmen einer allfälligen späteren Aufhebung der vorläufigen Aufnahme wäre dannzumal ex nunc zu prüfen, ob der Vollzug der Wegweisung völkerrechtlich zulässig, zumutbar und möglich ist (vgl. Art. 84 Abs. 2 i.V.m. Art. 83 AuG; zum Prüfungsmassstab in Bezug auf konvertierte Christen vgl. Urteil des EGMR [Grosse Kammer] vom 23. März 2016, F.G. gegen Schweden, (Nr. 43611/11), § 144, §§ 156-157).</w:t>
      </w:r>
    </w:p>
    <w:p>
      <w:r>
        <w:rPr>
          <w:b/>
        </w:rPr>
        <w:t>E. 6</w:t>
      </w:r>
    </w:p>
    <w:p>
      <w:r>
        <w:t>Aus diesen Erwägungen ergibt sich, dass die angefochtene Verfügung Bundesrecht nicht verletzt und auch sonst nicht zu beanstanden ist (Art. 106 Abs. 1 AsylG, Art. 49 VwVG). Die Beschwerde ist abzuweisen.</w:t>
      </w:r>
    </w:p>
    <w:p>
      <w:r>
        <w:rPr>
          <w:b/>
        </w:rPr>
        <w:t>E. 7</w:t>
      </w:r>
    </w:p>
    <w:p>
      <w:r>
        <w:t>Bei diesem Ausgang des Verfahrens wären die Kosten grundsätzlich dem Beschwerdeführer aufzuerlegen (Art. 63 Abs. 1 VwVG). Da die Beschwerde indes nicht als aussichtslos bezeichnet werden kann und die Bedürftigkeit des Beschwerdeführers belegt ist, ist in Gutheissung seines Gesuchs um Gewährung der unentgeltlichen Prozessführung gemäss Art. 65 Abs. 1 VwVG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