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D-3896/2010 vom 23. Mai 2011</w:t>
      </w:r>
    </w:p>
    <w:p>
      <w:r>
        <w:t>Bundesverwaltungsgericht, 2011-05-23, DE</w:t>
      </w:r>
    </w:p>
    <w:p>
      <w:r>
        <w:rPr>
          <w:b/>
        </w:rPr>
        <w:t xml:space="preserve">Quelle: </w:t>
      </w:r>
      <w:r>
        <w:t>https://mcp.opencaselaw.ch/entscheid/bvger_D-3896_2010</w:t>
      </w:r>
    </w:p>
    <w:p>
      <w:r>
        <w:t>FR: TAF D-3896/2010 du 23 mai 2011</w:t>
      </w:r>
    </w:p>
    <w:p>
      <w:r>
        <w:t>IT: TAF D-3896/2010 del 23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vom Beschwerdeführer am 14. Juli 2009 geltend gemachten Über­setzungsprobleme bei der Anhörung vom 7. Juli 2009 wirken nicht glaubhaft, hatte er damals doch angegeben, die dolmetschende Person sehr gut zu verstehen, und unterschriftlich die Korrektheit des ihm rücküber­setzten Protokolls bestätigt (A 9/12 Antwort 2 und S. 11). Entspre­chend muss er sich bei seinen Aussagen behaften lassen. Er war zwar in der Lage, gewisse Angaben zu Belangen der OLF zu machen. Da­bei vermittelte er aber mangels Realkennzeichen entgegen den Be­schwerdevorbringen kaum den Eindruck eines von der OLF-Strategie ge­prägten Parteimitglieds, sondern in Anbetracht der teilweise doch eher all­gemeinen und teilweise sehr einsilbigen Aussagen vielmehr den Eindruck ei­ner Person mit Kenntnissen über die OLF ohne direkten Bezug zu respek­tive Aktivitäten in dieser Organisation (A 9/12 Antworten 20 ff.; A 23/13 Antworten 27 ff., 65 ff., 70 und 107: Informationen aus dem Inter­net). Insbesondere auch die Angaben zu seinem Auftraggeber für OLF-Sen­dungen wirken sehr spärlich (A 23/13 Antworten 40 ff.). Zudem führte er aus, nie an einer Versammlung der OLF teilgenommen zu haben (A 9/12 Antwort 45), was in Würdigung der geltend gemachten angeblich lang­jährigen Mitgliedschaft nicht nachvollzogen werden kann. Auch den Transport der angeblichen Dokumente schilderte er stereotyp (A 9/12 Ant­wort 27). Dass er in seinem Heimatland möglicherweise und allenfalls we­gen der vorgebrachten DERG-Vergangenheit polizeilichen Behelligun­gen ausgesetzt war, ist zwar nicht ausgeschlossen (vgl. A 9/12 Antwort 48; A 23/13 Antwort 20); die in diesem Zusammenhang geltend gemachte Haft wäre aber ohnehin schon in zeitlicher Hinsicht nicht als kausal für die Flucht im Jahre 2009 anzusehen. Die angebliche Haft im Januar 2008 hin­gegen kann in der geltend gemachten Form nicht geglaubt werden. Da­bei fällt auf, dass er auf die Frage, weshalb er festgenommen worden sei, zuerst ausweichend antwortete und erst bei der ergänzenden Anhö­rung etwas konkretere Angaben machte (A 5/9 S. 5; A 23/13 Antworten 59 ff). Ausserdem gab er anlässlich der ersten Anhörung zu Protokoll, "Pen­dant un moment" im Gefängnis gewesen zu sein. Sollte damit tatsächlich die später mit einem Monat und einer Woche vorgebrachte Haft gemeint sein, wirkt diese Formulierung befremdlich (A 9/12 Antworten 14 und 31). Die Haftumstände schilderte er entgegen den Beschwerdevorbringen eher substanzlos und kaum mit Realkennzeichen versehen; auch das Ent­lassungsdatum vermochte er nicht genau anzugeben (A 23/13 Antwor­ten 54 ff. und 74). Nach der Entlassung habe der Beschwerdeführer offenbar relativ unbehelligt im Heimatstaat gelebt, bis er im Mai 2009 erneut vorgeladen worden sein will. Dass er die angebliche Vorladung bis zum heutigen Zeitpunkt nicht beibrachte, ist jedoch nicht nachvollziehbar, zumal die diesbezüglich angegebenen Gründe nicht zu überzeugen vermögen (A 23/13 Antworten 111 f. und 116).</w:t>
      </w:r>
    </w:p>
    <w:p>
      <w:r>
        <w:rPr>
          <w:b/>
        </w:rPr>
        <w:t>E. 4.2</w:t>
      </w:r>
    </w:p>
    <w:p>
      <w:r>
        <w:t>Die beigebrachten Dokumente rechtfertigen keine andere Einschät­zung der angeblichen Fluchtgründe. Dazu ist festzuhalten, dass die Identi­tät des Beschwerdeführers mangels eines rechtsgenüglichen Be­legs nach wie vor nicht feststeht und seine Bemühungen, die gemäss sei­nen Angaben im Heimatland zurückgebliebene ID-Karte zu beschaffen, we­nig kooperativ wirken (A 9/12 Antwort 13; A 23/13 Antworten 5 ff.). Ob sich der Parteiausweis der OLF (welcher vom BFM trotz einer entsprechen­den Anmerkung des Bundesverwaltungsgerichts im Urteil vom 24. Au­gust 2009 nicht zu den vorinstanzlichen Akten genommen wurde), und die Schreiben der OLF vom 8. Oktober 2005, 3. Juni 2010 und 27. Au­gust 2010 überhaupt auf die Person des Beschwerdeführers beziehen, bleibt mit­hin ungeklärt, was ihren Beweiswert bereits erheblich beeinträchtigt. Die Vorinstanz erwägt betreffend des erstgenannten Schreibens im Übri­gen zu Recht, dass es aufgrund seiner Datierung vor den gemäss Be­schwerdeführer ausreiserelevanten Vorfällen verfasst wurde und entspre­chend die darin gemachte Schlussfolgerung, er sei zur Ausreise gezwun­gen gewesen, nicht einleuchtet. Sein Erklärungsversuch vermag mangels Stichhaltigkeit nicht zu überzeugen (A 23/13 Antworten 94 ff.). Im Weiteren lassen die Ausstellungsumstände auf ein Massendokument ohne eigentli­chen Bezug zu individuellen Umständen schliessen (A 23/13 Antwort 82). Im Dokument vom 3. Juni 2010 wird weder die angebliche Parteimitgliedschaft des Beschwerdeführers noch seine Haft im Winter 2008 erwähnt, was er in seiner Replik vom 14. Juli 2010 einräumt. Das in der Folge nachgereichte Schreiben aus _______ vom 27. August 2010, welches auf Nachforschungen vor Ort beruhen soll, attestiert dem Beschwerdeführer eine zweimonatige Haft im Jahre 2008. Be­reits diese Angabe der angeblichen Haftdauer differiert zu den obener­wähnten Vorbringen des Beschwerdeführers erheblich. Ausserdem ent­steht vorliegend mit der gestaffelten Einreichung von OLF-Belegen unter­schiedlich konkreten Inhalts der Eindruck, dass diese ohne weiteres erhält­lich sind und auch im Falle ihrer Echtheit lediglich geringen Beweis­wert haben. Insgesamt sind sie jedenfalls nicht geeignet, die angebliche OLF-Mitgliedschaft des Beschwerdeführers und die angebliche Haft so­wie die polizeiliche Vorladung vor der Ausreise als glaubhaft erscheinen zu lassen. Anzufügen ist sodann, dass auch die geltend gemachte Zugehö­rigkeit zur Ethnie der Oromo trotz (ethnischen) Spannungen vor Ort für sich allein besehen nicht zur Anerkennung als Flüchtling führen kann (zur aktuellen Lage in Äthiopien vgl. u.a. das Urteil E-7622/2006 Ziff. 6.2.2 f. vom 16. März 2011).</w:t>
      </w:r>
    </w:p>
    <w:p>
      <w:r>
        <w:rPr>
          <w:b/>
        </w:rPr>
        <w:t>E. 4.3</w:t>
      </w:r>
    </w:p>
    <w:p>
      <w:r>
        <w:t>Unter Berücksichtigung der gesamten Umstände folgt, dass der Be­schwerdeführer keine Gründe nach Art. 3 AsylG nachweisen oder glaub­haft machen konnte. Es erübrigt sich, auf weitere Beschwerdevorbringen und die Beweismittel detaillierter einzugehen. Die Vorinstanz hat die Flücht­lingseigen­schaft zu Recht verneint und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unter Hin­weis auf obenstehende Erwägungen nicht gelungen.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In Äthiopien herrscht zurzeit keine landesweite Situation allgemeiner Gewalt, weshalb in konstanter Praxis von der generellen Zumutbarkeit des Wegweisungsvollzugs in dieses Land ausgegangen wird. In den Akten finden sich auch keine konkreten Anhaltspunkte dafür, dass der Beschwerdeführer aus individuellen Gründen wirt­schaftlicher, sozia­ler oder gesundheitlicher Natur in eine existenzbedrohende Situation gera­ten würde. Es ist davon auszugehen, dass vor Ort nach wie vor soziale An­knüpfungspunkte bestehen. Der Beschwerdeführer hat sodann gute Kennt­nisse mehrerer Sprachen und Arbeitserfahrung als Chauffeur (A 5/9 S. 2; A 9/12 Antworten 9 ff.) 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dem Be­schwer­deführer aufzuerlegen (Art. 63 Abs. 1 VwVG). Der Beschwerdeführer belegt jedoch seine prozessrechtliche Bedürftigkeit mit der Fürsorgebestätigung des Sozialdienstes der Stadt Thun vom 17. Juni 2010. Zudem sind die Rechtsbegehren nicht als aussichtslos zu bezeichnen. Demnach ist das Gesuch um Gewährung der unentgeltlichen Rechtspflege im Sinne von Art. 65 Abs. 1 VwVG gutzuheissen und es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