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D-3888/2012 vom 30. Juli 2012</w:t>
      </w:r>
    </w:p>
    <w:p>
      <w:r>
        <w:t>Bundesverwaltungsgericht, 2012-07-30, IT</w:t>
      </w:r>
    </w:p>
    <w:p>
      <w:r>
        <w:rPr>
          <w:b/>
        </w:rPr>
        <w:t xml:space="preserve">Quelle: </w:t>
      </w:r>
      <w:r>
        <w:t>https://mcp.opencaselaw.ch/entscheid/bvger_D-3888_2012</w:t>
      </w:r>
    </w:p>
    <w:p>
      <w:r>
        <w:t>FR: TAF D-3888/2012 du 30 juillet 2012</w:t>
      </w:r>
    </w:p>
    <w:p>
      <w:r>
        <w:t>IT: TAF D-3888/2012 del 30 luglio 2012</w:t>
      </w:r>
    </w:p>
    <w:p>
      <w:pPr>
        <w:pStyle w:val="Heading2"/>
      </w:pPr>
      <w:r>
        <w:t>Regeste</w:t>
      </w:r>
    </w:p>
    <w:p>
      <w:r>
        <w:t>Asilo e allontanamento (ricorso contro una decisione passata in giudicato)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misure cautelari pronunciate il 26 luglio 2012 sono revocate.</w:t>
      </w:r>
    </w:p>
    <w:p>
      <w:r>
        <w:rPr>
          <w:b/>
        </w:rPr>
        <w:t>E. 2</w:t>
      </w:r>
    </w:p>
    <w:p>
      <w:r>
        <w:t>La decisione dell'UFM del 22 giugno 2012 è annullata. La domanda di riesame dell'8 maggio 2012 ed il ricorso del 23 luglio 2012 vengono ripresi come istanza di revisione.</w:t>
      </w:r>
    </w:p>
    <w:p>
      <w:r>
        <w:rPr>
          <w:b/>
        </w:rPr>
        <w:t>E. 3</w:t>
      </w:r>
    </w:p>
    <w:p>
      <w:r>
        <w:t>All'istanza di revisione viene attribuito il nuovo numero di ruolo D-3997/2012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Eventuali emolumenti versati all'UFM sono da restituire alla ricorrente.</w:t>
      </w:r>
    </w:p>
    <w:p>
      <w:r>
        <w:rPr>
          <w:b/>
        </w:rPr>
        <w:t>E. 6</w:t>
      </w:r>
    </w:p>
    <w:p>
      <w:r>
        <w:t>Questa sentenza è comunicata alla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