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D-3885/2011 vom 4. Mai 2012</w:t>
      </w:r>
    </w:p>
    <w:p>
      <w:r>
        <w:t>Bundesverwaltungsgericht, 2012-05-04, DE</w:t>
      </w:r>
    </w:p>
    <w:p>
      <w:r>
        <w:rPr>
          <w:b/>
        </w:rPr>
        <w:t xml:space="preserve">Quelle: </w:t>
      </w:r>
      <w:r>
        <w:t>https://mcp.opencaselaw.ch/entscheid/bvger_D-3885_2011</w:t>
      </w:r>
    </w:p>
    <w:p>
      <w:r>
        <w:t>FR: TAF D-3885/2011 du 4 mai 2012</w:t>
      </w:r>
    </w:p>
    <w:p>
      <w:r>
        <w:t>IT: TAF D-3885/2011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macht der Beschwerdeführer geltend, die Vorinstanz habe seine Vorbringen zu Unrecht als nicht glaubhaft erachtet und ihn zu Unrecht nicht als Flüchtling anerkannt. Seine Vorbringen anlässlich der Anhörung entsprächen nämlich den Tatsachen. So seien beispielsweise CID (Criminal Investigation Department) und EPDP eigentlich dieselbe Organisation, weshalb er sich nicht widersprüchlich geäussert habe. Was das Telefon mit der Mutter anbelange, so stimmten beide Vorbringen. Erst habe er mit seiner Mutter telefoniert, dann sei sie gekommen. Des Weiteren hätten ihn seine Eltern öfters im Gefängnis besucht. Aus seinen Vorbringen könne nicht geschlossen werden, von welchem Datum die Rede gewesen sei. Den Zeitpunkt seiner Freilassung kenne er nicht genau, weil seine Augen verbunden gewesen seien und er gefoltert worden sei. Schliesslich sei zu erwähnen, dass er in Colombo weder Verwandte noch Freunde habe, sondern aus Jaffna stamme.</w:t>
      </w:r>
    </w:p>
    <w:p>
      <w:r>
        <w:rPr>
          <w:b/>
        </w:rPr>
        <w:t>E. 5.2</w:t>
      </w:r>
    </w:p>
    <w:p>
      <w:r>
        <w:t>Die Vorbringen in der Beschwerdeschrift vermögen nicht zu einer veränderten Betrachtungsweise zu führen, zumal aufgrund von Abklärungen der Schweizer Botschaft in Colombo feststeht, dass der Beschwerdeführer am 19. Juni 2008 auf dem Luftweg von Sri Lanka ausreiste und sich nach Kuala Lumpur (Malaysia) begab. Am 19. Juli 2008 kehrte der Beschwerdeführer nach Sri Lanka zurück. Bereits am 3. September 2008 verliess er den Heimatstaat erneut auf dem Luftweg und kehrte danach nicht mehr nach Sri Lanka zurück. Demgegenüber will der Beschwerdeführer erst am 16. Januar 2011 auf dem Luftweg aus Sri Lanka ausgereist sein (A5/15 Ziff. 16 S. 8), wobei er einen gefälschten Reisepass benutzt habe; bezeichnenderweise konnte er diesen jedoch nicht vorlegen. Derartige Unstimmigkeiten bezüglich des Reisewegs beziehungsweise zu den dabei verwendeten Papieren lassen praxisgemäss auch Rückschlüsse auf die fehlende Glaubhaftigkeit einer geltend gemachten Verfolgungssituation zu (vgl.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 So etwa ist nicht anzunehmen, er sei im Dezember 2011 von Angehörigen der EPDP in Jaffna gesucht worden und habe der Verfolgung nur durch sofortige Flucht entkommen können, hielt er sich doch in der entsprechenden Zeitperiode ausserhalb von Sri Lanka auf. Zudem ist davon auszugehen, der Beschwerdeführer würde das CID nicht mit der EDPD verwechseln, wenn er bei seinen Vorbringen auf Erinnerungen an tatsächliche Begebenheiten zurückgreifen könnte. An dieser Betrachtungsweise vermag auch ein ärztlicher Bericht wie derjenige vom 15. August 2011 nichts zu ändern, beweist dieser doch lediglich den im Sachverhalt unter Bst. D.d. aufgeführten medizinischen Befund, nicht aber die Begleitumstände, welche den Befund verursacht haben. Da im vorliegenden Zusammenhang die Begleitumstände, nicht aber der medizinische Befund, wesentlich sind, kann der Beschwerdeführer aus diesem Arztbericht nichts zu seinen Gunsten ableiten. Angesichts der zahlreichen Unstimmigkeiten erübrigt es sich, auf weitere Widersprüche und Unstimmigkeiten einzugehen. Stattdessen wird auf die zutreffenden Erwägungen der Vorinstanz verwiesen.</w:t>
      </w:r>
    </w:p>
    <w:p>
      <w:r>
        <w:rPr>
          <w:b/>
        </w:rPr>
        <w:t>E. 5.3</w:t>
      </w:r>
    </w:p>
    <w:p>
      <w:r>
        <w:t>Zusammenfassend ist somit festzuhalten, dass der Beschwerdeführer keine Gründe nach Art. 3 AsylG glaubhaft machen oder nachweisen kann. Bei dieser Sachlage erübrigt es sich, auf die weiteren Ausführungen in der Beschwerde einzugehen, da sie an der vorstehenden Feststellung nichts zu ändern vermögen.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8.3.1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im zur Publikation vorgesehenen Urteil BVGE E-6220/2006 vom 27. Oktober 2011 eine Neubeurteilung der Lage in Sri Lanka vorgenommen. Dabei hat es festgestellt, dass sich seit Beendigung des militärischen Konflikts zwischen der sri-lankischen Armee und den LTTE im Mai 2009 die Sicherheitslage erheblich verbessert und stabilisiert hat. Die LTTE wurden militärisch vernichtend geschlagen, weshalb von ihr heute keine Verfolgung mehr ausgeht. Der Wegweisungsvollzug ist daher grundsätzlich zumutbar hinsichtlich des gesamten Gebiets der Ostprovinz und auch hinsichtlich der Nordprovinz, dort allerdings mit Ausnahme des Vanni-Gebiets (geografisch definiert in E. 13.2.2.); es gibt keinen Anlass, diese Beurteilung aufgrund der Eingabe des Beschwerdeführers vom 30. März 2012 in Frage zu stellen. Bei Personen, deren letzter Aufenthalt in der Nordprovinz längere Zeit zurückliegt, sind allerdings bei der Prüfung der Zumutbarkeit die aktuellen Lebens- und Wohnverhältnisse sowie das Vorhandensein begünstigender Faktoren (Existenz eines tragfähigen Beziehungsnetzes, Sicherung des Existenzminimums und der Wohnsituation) in Betracht zu ziehen.</w:t>
      </w:r>
    </w:p>
    <w:p>
      <w:r>
        <w:rPr>
          <w:b/>
        </w:rPr>
        <w:t>E. 8.3.3</w:t>
      </w:r>
    </w:p>
    <w:p>
      <w:r>
        <w:t>Der Beschwerdeführer stammt aus Jaffna (Nordprovinz) und verliess den Heimatstaat definitiv am 3. September 2008 auf dem Luftweg. Sein Aufenthalt vor dem 3. September 2008 bleibt angesichts unglaubhafter Angaben zu seinen Aufenthaltsorten unbekannt. O._______, wo das Elternhaus des Beschwerdeführers liegen soll, liegt ausserhalb des Vanni-Gebiets, weshalb der Vollzug der Wegweisung grundsätzlich zumutbar ist. Sodann sind den Akten keine Anhaltspunkte zu entnehmen, wonach dem Beschwerdeführer aus individuellen Gründen eine Rückkehr in den Heimatstaat nicht zumutbar sein soll, ergibt sich doch aus dem vom Beschwerdeführer eigereichten Arztzeugnis keine Notwendigkeit einer medizinischen Behandlung in der Schweiz. Ausserdem verfügt der Beschwerdeführer über eine gute Ausbildung und Berufserfahrung als Lehrer, Schulleiter und Bankangestellter, weshalb es keinen Anlass zur Annahme gibt, er werde nach seiner Rückkehr in den Heimatstaat mit einer existenzbedrohenden Situation konfrontiert.</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sind die Kosten von Fr. 1'200.- (Art. 1 - 3 des Reglements vom 21. Februar 2008 über die Kosten und Entschädigungen vor dem Bundesverwaltungsgericht [VGKE, SR 173.320.2]) dem Beschwerdeführer aufzuerlegen (Art. 63 Abs. 1 VwVG) und mit dem am 2. August 2011 in gleicher Höhe geleisteten Kostenvorschuss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