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D-3876/2010 vom 12. Januar 2011</w:t>
      </w:r>
    </w:p>
    <w:p>
      <w:r>
        <w:t>Bundesverwaltungsgericht, 2011-01-12, DE</w:t>
      </w:r>
    </w:p>
    <w:p>
      <w:r>
        <w:rPr>
          <w:b/>
        </w:rPr>
        <w:t xml:space="preserve">Quelle: </w:t>
      </w:r>
      <w:r>
        <w:t>https://mcp.opencaselaw.ch/entscheid/bvger_D-3876_2010</w:t>
      </w:r>
    </w:p>
    <w:p>
      <w:r>
        <w:t>FR: TAF D-3876/2010 du 12 janvier 2011</w:t>
      </w:r>
    </w:p>
    <w:p>
      <w:r>
        <w:t>IT: TAF D-3876/2010 del 12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Soweit der Beschwerdeführer wirtschaftliche und soziale Gründe für seine Ausreise vorbrachte, ist auf die zutreffende Argumentation der Vorinstanz zu verweisen (vgl. Akte A13 S. 3 Punkt 2.).</w:t>
      </w:r>
    </w:p>
    <w:p>
      <w:r>
        <w:rPr>
          <w:b/>
        </w:rPr>
        <w:t>E. 4.2</w:t>
      </w:r>
    </w:p>
    <w:p>
      <w:r>
        <w:t>Darüber hinaus machte der Beschwerdeführer im Wesentlichen geltend, er habe befürchtet, nach dem Ende seiner Schulzeit in den Militärdienst einbezogen zu werden, weshalb er aus seinem Hei­mat­land geflohen sei. Da er inzwischen einige Jahre im Ausland verbracht habe und sich im dienstpflichtigen Alter befinde, müsse er im Fall einer Rückkehr mit asylerheblichen Verfolgungsmassnahmen rechnen.</w:t>
      </w:r>
    </w:p>
    <w:p>
      <w:r>
        <w:rPr>
          <w:b/>
        </w:rPr>
        <w:t>E. 4.2.1</w:t>
      </w:r>
    </w:p>
    <w:p>
      <w:r>
        <w:t>Nach den Erkenntnissen des Gerichts besteht in Eritrea die Dienstpflicht für den aktiven National Service in der Praxis gegenwärtig für Frauen zwischen 18 und 27 Jahren und für Männer zwischen 18 und 40 Jahren. Frauen bleiben indessen bis ins Alter von 47 und Män­ner bis 54 Jahren dienstpflichtige Angehörige der Reserve und können jederzeit aufgeboten werden. Das heutige Alter des Be­schwer­de­füh­rers von fast 20 Jahren liegt somit innerhalb der aktiven Dienstpflicht, weshalb die Einberufung in den Militärdienst als wahrscheinlich zu be­zeichnen ist. Indessen ist darauf hinzuweisen, dass jeder Staat das le­gitime Recht hat, eine Armee zu unterhalten und seine Bürger zum Dienst in dieser Armee zu verpflichten. Die Einberufung in den Mili­tär­dienst ist daher für sich genommen flüchtlingsrechtlich nicht relevant, solange die Rekrutierung nicht darauf abzielt, einem Wehrpflichtigen aus einem der in Art. 3 AsylG genannten Gründe erhebliche Nachteile zuzufügen oder diesen in völkerrechtlich verpönte Handlungen zu ver­stricken (vgl. dazu Entscheidungen und Mitteilungen der Schweize­ri­schen Asylrekurskommission [EMARK] 2004 Nr. 2). Der Beschwerde­führer legte zwar dar, sein Onkel sei während des Militärdienstes ver­letzt worden und müsse seither zuhause gepflegt werden. Indessen brachte er nicht vor, dies sei aus den zuvor erwähnten Gründen ge­schehen, weshalb von einem während der Dienstzeit passierten Unfall auszugehen ist. Selbst wenn der Beschwerdeführer im Fall einer Rück­kehr in sein Heimatland tatsächlich rekrutiert würde, könnte darin nicht per se eine flüchtlingsrechtlich relevante Verfolgung gesehen werden. Die von ihm geäusserte Furcht davor ist somit nicht asylrelevant. An dieser Einschätzung vermag die Aussage, er habe befürchtet, wie sein Onkel verletzt zu werden, nichts zu ändern.</w:t>
      </w:r>
    </w:p>
    <w:p>
      <w:r>
        <w:rPr>
          <w:b/>
        </w:rPr>
        <w:t>E. 4.2.2</w:t>
      </w:r>
    </w:p>
    <w:p>
      <w:r>
        <w:t>In einem wegleitenden Urteil (vgl. EMARK 2006 Nr. 3) setzte sich die Schweizerische Asylrekurskommission (ARK) mit der Praxis der eritreischen Behörden betreffend Rekrutierung und Behandlung von Armeeangehörigen und -verweigerern auseinander. Dieses Urteil blieb auch für die seitherige Praxis des Bundesverwaltungsgerichts massgebend (vgl. beispielsweise Urteile des Bundesverwaltungsge­richts E-4212/2006 vom 10. Februar 2010 und D-8454/2007 vom 29. Januar 2010). Danach kommt im Unterschied zur alleinigen Ein­be­rufung in den Militärdienst der in Eritrea praktizierten Bestrafung von Dienstverweigerern asylrechtliche Bedeutung zu, da diese als unver­hältnismässig streng und politisch motiviert im Sinne eines absoluten Malus gilt (vgl. EMARK 2006 Nr. 3). Dabei ist die Furcht vor einer Be­strafung wegen Dienstverweigerung oder Desertion dann begründet, wenn die betroffene Person in einem konkreten Kontakt zu den Militär­behörden stand. Ein solcher Kontakt ist regelmässig dann an­zu­neh­men, wenn die betroffene Person im aktiven Dienst stand und deser­tierte. Darüber hinaus ist jeglicher Kontakt mit den Behörden relevant, aus dem erkennbar wird, dass die betroffene Person rekrutiert werden sollte. Personen, die ihren Dienst noch nicht geleistet haben, ohne sich ihm aktiv entzogen zu haben, können gestützt auf die erwähnte Praxis zumindest theoretisch nicht bestraft werden. Sie werden zwangsweise rekrutiert oder sind auf eine der wenigen Möglichkeiten verwiesen, sich vom Dienst dispensieren zu lassen. Zur Annahme einer begründeten Furcht vor asylrelevanter Verfolgung reicht es nicht aus, dass die be­troffene Person im dienstfähigen Alter ist und fürchtet, irgendwann ausgehoben zu werden und falls - wie vorliegend - kein konkreter fa­miliärer Bezug zu rekrutierten Soldaten feststeht, besteht kein Anlass für begründete Furcht vor ernsthaften Nachteilen, auch wenn die be­troffene Person im dienstfähigen Alter ist und ihren Nationaldienst noch nicht absolviert hat. Solche Personen müssten allenfalls be­fürch­ten, für den Nationaldienst rekrutiert zu werden, was, für sich genom­men, nicht die nach Art. 3 AsylG erforderliche Intensität aufweist (vgl. EMRAK 2006 Nr. 3 S. 39 und 40). Dass die mehrjährige Abwesenheit des Beschwerdeführers von den eritreischen Behörden als Umgehung des Wehrdienstes betrachtet würde, erscheint zudem vorliegend nicht realistisch, da der Beschwerdeführer nicht kurz vor dem Erreichen des für den Militärdienst relevanten Alters aus seinem Heimatland ausreis­te, sondern dieses schon im Alter von weniger als 15 Jahren verliess.</w:t>
      </w:r>
    </w:p>
    <w:p>
      <w:r>
        <w:rPr>
          <w:b/>
        </w:rPr>
        <w:t>E. 4.2.3</w:t>
      </w:r>
    </w:p>
    <w:p>
      <w:r>
        <w:t>Im Beschwerdeverfahren wird zwar behauptet, der Be­schwerde­führer habe konkreten Kontakt mit den Militärbehörden gehabt, indem er aufgrund des Schulbesuchs registriert sei. In Eritrea sei das Schul­wesen stark militarisiert, was zur Folge habe, dass Schulabgänger systematisch rekrutiert würden. Infolge der Registrierung in der Schule befinde er sich sozusagen auf der Liste der zukünftigen Rekruten, was als direkter Kontakt mit den Militärbehörden zu sehen sei. Diese Mei­nung wird vom Bundesverwaltungsgericht nicht geteilt. Der Beschwer­deführer war im Zeitpunkt, als er sein Heimatland verliess, noch nicht 15 Jahre alt. Da die Dienstpflicht in Eritrea erst ab 18 Jahren besteht (vgl. EMARK 2006 Nr. 3 S. 32), kann er folglich noch nicht auf einer Liste von künftigen Rekruten aufgeführt gewesen sein. Auch seine Aussage vom 4. März 2010 anlässlich der direkten Bundesanhörung, er habe bis heute kein offizielles Aufgebot zur Absolvierung des Militär­dienstes bekommen (Akte A10/12 S. 9), spricht gegen die im Be­schwerdeverfahren vom Beschwerdeführer vertretene Meinung. Die Registrierung in der Schule kann - selbst wenn die Schule in Eritrea als "militarisiert" zu betrachten sein sollte - nicht als konkreter Kontakt mit den Militärbehörden betrachtet werden. Allein die Furcht des Be­schwerdeführers, im Fall seiner Rückkehr nach Eritrea möglicherweise einmal in den Militärdienst eingezogen zu werden, ist nicht begründet genug, um auf das Bestehen der Flüchtlingseigenschaft schliessen zu können.</w:t>
      </w:r>
    </w:p>
    <w:p>
      <w:r>
        <w:rPr>
          <w:b/>
        </w:rPr>
        <w:t>E. 4.2.4</w:t>
      </w:r>
    </w:p>
    <w:p>
      <w:r>
        <w:t>Darüber hinaus legte der Beschwerdeführer dar, er sei mit ei­nem Bekannten aus seinem Heimatland ausgereist, der das mili­täri­sche Aufgebot bereits erhalten habe, weshalb er sich der Fluchthilfe schuldig gemacht habe und aus diesem Grund im Fall seiner Rückkehr nach Eritrea mit flüchtlingsrechtlich relevanter Verfolgung zu rechnen habe. Diese Argumentation vermag indessen nicht zu überzeugen, da der Beschwerdeführer - gestützt auf seine Aussagen - sein Heimat­land illegal verlassen habe und somit von den Behörden nicht festge­stellt werden kann, mit wem und unter welchen Umständen die Ausrei­se erfolgt ist.</w:t>
      </w:r>
    </w:p>
    <w:p>
      <w:r>
        <w:rPr>
          <w:b/>
        </w:rPr>
        <w:t>E. 4.2.5</w:t>
      </w:r>
    </w:p>
    <w:p>
      <w:r>
        <w:t>Somit hat der Beschwerdeführer im Zusammenhang mit dem Mi­litärdienst bei einer Rückkehr in sein Heimatland nicht in asylrelevanter Weise Nachteile zu befürchten. Sein Antrag auf Asylgewährung ist deshalb abzuweisen.</w:t>
      </w:r>
    </w:p>
    <w:p>
      <w:r>
        <w:rPr>
          <w:b/>
        </w:rPr>
        <w:t>E. 4.3</w:t>
      </w:r>
    </w:p>
    <w:p>
      <w:r>
        <w:t>Der Beschwerdeführer machte zudem geltend, er habe sein Hei­matland illegal verlassen, weshalb er ebenfalls eine flüchtlingsrechtlich relevante Verfolgung befürchte. Es ist deshalb zu prüfen, ob er durch seine illegale Ausreise aus dem Heimatstaat oder sein seitheriges Ver­halten bei einer Rückkehr nach Eritrea - mithin infolge subjektiver Nachfluchtgründe - befürchten muss, ernsthaften Nachteilen im Sinne von Art. 3 AsylG ausgesetzt zu sein.</w:t>
      </w:r>
    </w:p>
    <w:p>
      <w:r>
        <w:rPr>
          <w:b/>
        </w:rPr>
        <w:t>E. 4.3.1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AsylG darstellen. Der Tatbestand der Republikflucht fand sich insbesondere in den Strafgesetzbüchern der ehemaligen Ostblock-Staaten (vgl. Walter Stöckli, Asyl, in: Uebersax/Rudin/Hug/Yar/Geiser [Hrsg.], Bern/Stuttgart/Wien 2009, S. 203), ist indessen auch heute noch beispielsweise in Art. 322 des Strafgesetzbuches der Volksrepublik China zu finden, was zur Aner­kennung von illegal ausgereisten Tibeterinnen und Tibetern als Flücht­linge führt (vgl. BVGE 2009/29).</w:t>
      </w:r>
    </w:p>
    <w:p>
      <w:r>
        <w:rPr>
          <w:b/>
        </w:rPr>
        <w:t>E. 4.3.2</w:t>
      </w:r>
    </w:p>
    <w:p>
      <w:r>
        <w:t>Über Eritrea im Allgemeinen und über die oftmals willkürliche Praxis bei der Anwendung des nationalen Rechts in diesem Land im Speziellen sind nur wenige zuverlässige und unabhängige Quellen ver­fügbar.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vom Beschwerdeführer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4.3.3</w:t>
      </w:r>
    </w:p>
    <w:p>
      <w:r>
        <w:t>Aufgrund der Akten ist davon auszugehen, dass der Be­schwer­deführer seinen Heimatstaat il­legal, das heisst ohne behördliches Aus­reisevisum, verlassen hat. Es ist sodann davon auszugehen, dass die illegale Ausreise spätestens im Falle der Wiedereinreise bekannt wer­den dürfte, zumal der Beschwerdeführer als Schüler behördlich re­gis­triert gewesen ist. Da­von, und von einer ihm drohenden Freiheitsstrafe bis zu fünf Jahren, geht auch das BFM in der angefochtenen Verfü­gung aus. Allerdings hat es diese Umstände nicht unter dem Gesichts­punkt von Art. 3 AsylG, sondern lediglich unter demjenigen von Art. 3 der Konvention vom 4. November 1950 zum Schutze der Menschen­rechte und Grund­freiheiten (EMRK, SR 0.101) berücksichtigt und nur die vorläufige Auf­nahme wegen Unzulässigkeit des Vollzuges der Weg­weisung angeord­net, nicht aber die Flüchtlingseigenschaft des Be­schwerdeführers fest­gestellt. Damit verkennt das BFM, dass der Be­schwerdeführer angesichts der in E. 4.3.2 genannten Umstände be­gründete Furcht hat, bei einer Rückkehr in seinen Heimatstaat erhebli­chen Nachteilen im Sinne von Art. 3 AsylG aus­gesetzt zu werden. Der Beschwerdeführer erfüllt demnach die Anfor­derungen an die Flücht­lingseigenschaft.</w:t>
      </w:r>
    </w:p>
    <w:p>
      <w:r>
        <w:rPr>
          <w:b/>
        </w:rPr>
        <w:t>E. 4.3.4</w:t>
      </w:r>
    </w:p>
    <w:p>
      <w:r>
        <w:t>Zusammenfassend ist somit festzustellen, dass die Flücht­lings­eigenschaft des Beschwerdeführers vorliegend aufgrund der Tatsache, dass er sein Heimatland illegal verlassen hat, zu bejahen ist, da er die Voraussetzungen von Art. 3 AsylG aus den zuvor erwähnten Gründen erfüllt. Die Asylberechtigung bleibt ihm indessen aufgrund der Aus­schlussklausel von Art. 54 AsylG, wonach subjektive Nachfluchtgründe zwar zur Anerkennung der Flüchtlingseigenschaft, jedoch nicht zur Asylgewährung führen, verwehrt. Aufgrund der objektiv begründeten Furcht des Beschwerdeführers, in Eritrea künftig im Sinne von Art. 3 AsylG verfolgt zu werden, erweist sich der Vollzug der Wegweisung dagegen wegen drohender Verletzung des flüchtlingsrechtlichen Ge­bots des Non-Refoulements als unzulässig (Art. 83 Abs. 1 und 3 des Bundesgesetzes vom 16. Dezember 2005 über die Ausländerinnen und Ausländer [AuG, SR 142.20]).</w:t>
      </w:r>
    </w:p>
    <w:p>
      <w:r>
        <w:rPr>
          <w:b/>
        </w:rPr>
        <w:t>E. 5</w:t>
      </w:r>
    </w:p>
    <w:p>
      <w:r>
        <w:t>Die Beschwerde ist folglich teilweise gutzuheissen, soweit die Aner­ken­nung der Flüchtlingseigenschaft beantragt wird. Hinsichtlich des Antrags, Asyl zu gewähren, ist sie hingegen abzuweisen. Die angefochtene Ver­fü­gung vom 28. April 2010 ist demzufolge bezüglich der Dispo­sitiv-Ziffer 2 ff. zu bestätigen und hinsichtlich der Dispositiv-Ziffer 1 aufzuheben.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ausländerrechtli­che Aufenthaltsbewilligung noch über einen Anspruch auf Erteilung ei­ner solchen. Die Wegweisung wurde demnach zu Recht angeordnet (vgl. EMARK 2001 Nr. 21). Da er mit Verfügung des BFM vom 28. April 2010 vorläufig aufgenommen wurde, erübrigen sich weitere Ausfüh­run­gen zur Frage der Durchführbarkeit des Vollzuges.</w:t>
      </w:r>
    </w:p>
    <w:p>
      <w:r>
        <w:rPr>
          <w:b/>
        </w:rPr>
        <w:t>E. 7</w:t>
      </w:r>
    </w:p>
    <w:p>
      <w:r>
        <w:t>Aus diesen Erwägungen ergibt sich, dass die angefochtene Verfügung Bundesrecht verletzt, soweit sie die Frage der Flüchtlingseigenschaft be­trifft. Die Beschwerde ist nach dem Gesagten insoweit gutzuheis­sen, als die Verfügung des BFM vom 28. April 2010 teilweise - die Disposi­tiv-Ziffer 1 betreffend - aufzuheben und das Bundesamt anzuweisen ist, die Flüchtlingseigenschaft des Beschwerdeführers anzuerkennen.</w:t>
      </w:r>
    </w:p>
    <w:p>
      <w:r>
        <w:rPr>
          <w:b/>
        </w:rPr>
        <w:t>E. 8.1</w:t>
      </w:r>
    </w:p>
    <w:p>
      <w:r>
        <w:t>Bei diesem Ausgang des Verfahrens wären die Kosten nach dem Grad des Durchdringens praxisgemäss zur Hälfte, ausmachend Fr. 300.-, dem Beschwerdeführer aufzuerlegen (Art. 63 Abs. 1 und 5 VwVG; Art. 1-3 des Reglements vom 21. Februar 2008 über die Kosten und Entschädigungen vor dem Bundesverwaltungsgericht [VGKE, SR 173.320.2]). Angesichts der Tatsache, dass die Beschwerde nicht als aussichtslos zu bezeichnen war und aufgrund der Aktenlage nach wie vor von der mit Bestätigung vom 4. Mai 2010 belegten prozessua­len Bedürftigkeit auszugehen ist, ist indessen das Gesuch um Gewäh­rung der unentgeltlichen Rechtspflege gemäss Art. 65 Abs. 1 VwVG - so­weit nicht durch die teilweise Gutheissung der Beschwerde hinfällig geworden - gutzuheissen und von der Kostenauferlegung abzusehen.</w:t>
      </w:r>
    </w:p>
    <w:p>
      <w:r>
        <w:rPr>
          <w:b/>
        </w:rPr>
        <w:t>E. 9</w:t>
      </w:r>
    </w:p>
    <w:p>
      <w:r>
        <w:t>Dem Beschwerdeführer ist angesichts des hälftigen Obsiegens im Beschwerdeverfahren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weist in seiner Kostennote vom 14. Juli 2010 Parteikosten von ins­gesamt Fr. 1'895.35 aus, wobei er von einem Stundenansatz von Fr. 200.- ausging und insgesamt 8.65 Stunden sowie Fr. 31.50 für Auslagen und Fr. 133.85 für die Mehrwertsteuer verrechnete. Dieser Aufwand erscheint vorliegend gerechtfertigt und ist infolge des hälftigen Obsiegens auf die Hälfte zu reduzieren, weshalb das BFM dem Beschwerdeführer eine Parteientschädigung in der Höhe von gerundet Fr. 950.- auszurichten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