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D-3873/2018 vom 19. Juli 2019</w:t>
      </w:r>
    </w:p>
    <w:p>
      <w:r>
        <w:t>Bundesverwaltungsgericht, 2019-07-19, DE</w:t>
      </w:r>
    </w:p>
    <w:p>
      <w:r>
        <w:rPr>
          <w:b/>
        </w:rPr>
        <w:t xml:space="preserve">Quelle: </w:t>
      </w:r>
      <w:r>
        <w:t>https://mcp.opencaselaw.ch/entscheid/bvger_D-3873_2018</w:t>
      </w:r>
    </w:p>
    <w:p>
      <w:r>
        <w:t>FR: TAF D-3873/2018 du 19 juillet 2019</w:t>
      </w:r>
    </w:p>
    <w:p>
      <w:r>
        <w:t>IT: TAF D-3873/2018 del 19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an, sie zweifle an der Authentizität der (...) Vorladung der sri-lankischen Armee vom (...). Februar 2015, welche an die Mutter des Beschwerdeführers adressiert gewesen sei. Sie gehe davon aus, es handle sich um eine Fälschung, welche die allgemeine Glaubwürdigkeit der Vorbringen massgeblich herabsetze. Ferner sei es nicht nachvollziehbar, weshalb die Mutter des Beschwerdeführers Anfang 2017 hätte mehrfach über diesen befragt worden sein sollen. Ebenfalls als unglaubhaft stufte die Vorinstanz das Vorbringen ein, die sri-lankische Armee habe sich beim (...) nach ihm erkundigt. Dementsprechend sei dem diesbezüglichen, undatierten Schreiben keinen Beweiswert zuzumessen, vielmehr qualifiziere sie es als ein reines Gefälligkeitsschreiben. Weiter seien die Festnahmen und die körperlichen Übergriffe insgesamt nicht ausreichend substantiiert und wenig lebensecht vorgebracht, da insbesondere der spontane Redensfluss sowie der Detailreichtum fehle. Auch die Aussagen in Zusammenhang mit der Mitorganisation von Demonstrationen seien flach und allgemein ausgefallen. Sie würden nicht den Eindruck erwecken, dass der Beschwerdeführer eine tragende Rolle dabei innegehabt habe. Zwar werde eine Teilnahme an Demonstrationen von der Vorinstanz für möglich gehalten, eine exponierte Rolle jedoch verneint. Weiter erachte die Vorinstanz die Nachteile aufgrund der illegalen Ausreise aus Sri Lanka als nicht asylrelevant, zumal - gemäss ihrer Argumentation - keine Risikofaktoren, die ein Verfolgungsinteresse der heimatlichen Behörden begründen könnten, vorliegen würden. In Zusammenhang mit der Zumutbarkeit des Wegweisungsvollzugs sei festgestellt worden, dass der Beschwerdeführer aus der Nordprovinz stamme und bis zu seiner Ausreise auch dort gelebt habe. Es lägen keine individuellen Kriterien vor, welche einer Wegweisung entgegenstehen würden. Daran ändere auch die Tatsache nichts, dass sein Vater eine vorläufige Aufnahme erhalten habe und seine Mutter mittels Familiennachzug in die Schweiz eingereist sei. Ein ausreichendes soziales Beziehungsnetz sowie familiäres (...) seien vorhanden. Zudem gehe es der Familie (...) und er, ein junger gesunder Mann mit einem (...) verfüge über gute Aussichten, sich erfolgreich im Heimatland zu reintegrieren.</w:t>
      </w:r>
    </w:p>
    <w:p>
      <w:r>
        <w:rPr>
          <w:b/>
        </w:rPr>
        <w:t>E. 4.2</w:t>
      </w:r>
    </w:p>
    <w:p>
      <w:r>
        <w:t>Dagegen wendete der Beschwerdeführer ein, die Vorinstanz stütze die scheinbar mangelnde Glaubhaftigkeit seiner Vorbringen hauptsächlich auf ein angeblich nicht echtes Dokument. Zudem könne sie in seinen widerspruchsfreien Schilderungen lediglich einen fehlenden Detailreichtum feststellen, welcher zur Annahme geführt habe, dass er das Geschilderte nicht selber erlebt habe. Es seien von der Vorinstanz keine konkreten Beispiele zur fehlenden Glaubhaftmachung und Substanziiertheit der Asylgründe angebracht worden. Diese Vorgehensweise sei insofern unzulässig, da lediglich aufgrund eines angeblich gefälschten Dokumentes die gesamte Glaubhaftigkeit der Asylvorbringen in Zweifel gezogen würden. Eingereichte Beweisstücke würden dazu dienen, die eigentlichen Vorbringen zu untermauern und nicht - wie es vorliegend der Fall sei - den Hauptgegenstand des Asylgesuchs darstellen. Weiter erläuterte er, dass es sich bei dem Dokument um ein Original handle, welches tatsächlich lediglich zur Untermauerung seiner Vorbringen diene, denn auch ohne dieses Beweismittel würden genügend Glaubhaftigkeitselemente vorliegen. Zudem habe er alle Fragen in umfassender Weise beantwortet und es dürfe ihm nicht zur Last gelegt werden, wenn er sich nicht zu Themen, zu welchen keine Fragen gestellt worden seien, geäussert habe. Weiter habe die Vorinstanz die Widerspruchslosigkeit in keiner Weise gewürdigt, dies insbesondere unter dem Gesichtspunkt, dass zwischen der BzP und der Anhörung zu den Asylgründen mehr als zwei Jahre liegen würden. Zusammenfassend sei festzuhalten, dass seine Aussagen alle wesentlichen Angaben zu seinen Erlebnissen und insbesondere Details zum sexuellen Übergriff enthalten würden. Weiter werde ihm durch die heimatlichen Behörden unterstellt, er unterstütze aufgrund der Heirat seiner Cousine mit einem hochrangigen LTTE-Mitglied, respektive dessen Bodyguard, den Wiederaufbau der Bewegung. Unter diesen Umständen erscheine die Furcht vor Verfolgung auch in objektiver Weise begründet. Er verwies auf zwei Urteile des Bundesverwaltungsgerichts (D-1470/2014 vom 19. Februar 2014, E.6.4.4 und D-2220/2015 vom 15. März 2015, E.6.5.) sowie auf verschiedene Berichte von Menschenrechtsorganisationen in Zusammenhang mit behördlicher Willkür der Behörden gegen Tamilen im Norden Sri Lankas. Schliesslich hielt er fest, dass er sich kein neues Leben in B._______ aufbauen könne, da ihn nicht seine gesamte Verwandtschaft, sondern lediglich nur die Mutter finanziell unterstützt habe, welche sich nun in der Schweiz befinde und ihm in einer Notsituation nicht mehr würde helfen können.</w:t>
      </w:r>
    </w:p>
    <w:p>
      <w:r>
        <w:rPr>
          <w:b/>
        </w:rPr>
        <w:t>E. 4.2.1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4.2.2</w:t>
      </w:r>
    </w:p>
    <w:p>
      <w:r>
        <w:t>Die Vorinstanz führte in ihrer Verfügung aus, die vom Beschwerdeführer geltend gemachten Festnahmen durch den sri-lankischen Geheimdienst von E._______ sowie die anschliessenden Misshandlungen seien wenig substanziiert und lebensecht ausgefallen. Des Weiteren wiesen sie Detailarmut auf, wobei auf verschiedene Seiten des Protokolls der Befragung zu den Asylgründen verwiesen wurde (A14, S5,7-9,15f.). Vorwegzunehmen ist, dass in Bezug auf die von ihm geschilderten Misshandlungen und die damit verbundenen sexuellen Übergriffe Hinweise bestehen, welche für die Glaubhaftigkeit dieser Sachverhaltselemente sprechen, zumal er diese bereits in der BzP erwähnt hatte, um demnach das Geschilderte weiter in der Befragung zu den Asylgründen zu präzisieren (A3/4, S8; A14/20, F125 - 138). Obwohl die erlittenen sexuellen Übergriffe eher als glaubhaft zu qualifizieren sind, ist aus nachfolgenden Gründen davon auszugehen, dass sich diese in einem anderen zeitlichen und ursächlichen Zusammenhang ereignet haben, deren Gründe dem Bundesverwaltungsgericht nicht bekannt sind. Ergänzend ist denn auch festzustellen, dass das Asylrecht nicht zur Wiedergutmachung von geschehenem Unrecht dient, weshalb die Misshandlungen als solche nicht als Grund für die Gewährung der Flüchtlingseigenschaft zu genügen vermögen.</w:t>
      </w:r>
    </w:p>
    <w:p>
      <w:r>
        <w:rPr>
          <w:b/>
        </w:rPr>
        <w:t>E. 4.2.3</w:t>
      </w:r>
    </w:p>
    <w:p>
      <w:r>
        <w:t>Im Gegensatz zu den erlittenen sexuellen Misshandlungen vermag der Beschwerdeführer seine Festnahmen nicht überzeugend darzustellen, so dass die breiteren Zusammenhänge der geltend gemachten Verfolgungsmassnahmen unklar bleiben. Obwohl die beiden Festnahmen durch den Geheimdienst zwar chronologisch geschildert wurden und er auch gewisse Präzisierungen zum Verhör wie etwa die Nummer des Büros, in welchem er misshandelt worden sei, beifügte, ist insgesamt jedoch festzustellen, dass in seinen Ausführungen individuelle Aspekte oder nebensächliche Details, welche auf ein persönliches Erleben der Verhöre schliessen lassen könnten, fehlen (vgl. act. A14/20, F36). Zwar stellte er kurze Mutmassungen über den Rang eines Geheimdienstmitarbeiters an, welcher ihn beim ersten Verhör befragt hatte, ansonsten blieben seine Schilderungen vage und allgemein (vgl. act. A14/20, F37). Die Schilderung seiner kurzzeitigen Verhaftung erschöpfte sich lediglich in einer repetitiv gleichbleibenden kurzen Beschreibung, welche nicht den Eindruck vermittelt, selber am Geschehen teilgenommen zu haben. (vgl. act. A14/20, F50-52). Insgesamt fehlen subjektive Empfindungen des Geschehens, welche zu erwarten wären, wenn der Betroffene diese auch selber erlebt hätte.</w:t>
      </w:r>
    </w:p>
    <w:p>
      <w:r>
        <w:rPr>
          <w:b/>
        </w:rPr>
        <w:t>E. 4.2.4</w:t>
      </w:r>
    </w:p>
    <w:p>
      <w:r>
        <w:t>Ebenso wenig zu überzeugen vermögen seine Darstellungen, er wäre als Mitorganisator an verschiedenen Demonstrationen beteiligt gewesen. So erwähnt er die Demonstration im Jahr (...) anlässlich des Besuchs von J._______ (vgl. act. A14/20, F40), geht jedoch nicht weiter darauf ein, wie er die Demonstration in konkreter Hinsicht organisiert haben will. Seine Schilderungen enden mit der Aufzählung von allgemeinen Tätigkeiten wie der Verteilung von Flugblättern und der Rekrutierung neuer interessierter Studierenden für die Teilnahme an Demonstrationen (vgl. act. A14/20, F58). Auch auf die Organisation weiterer Anlässe angesprochen, blieben seine Beschreibungen vage und vorwiegend unkonkret (vgl. act. A14/20, F40 und 80-95). Mithin lässt dies zwar den Schluss zu, dass er durchaus an verschiedenen Demonstrationen und den anderen von ihm erwähnten Kundgebungen teilgenommen hatte, jedoch lediglich als einfacher Teilnehmer und nicht als eine exponierte Persönlichkeit mit besonderer Verantwortung für die jeweiligen Veranstaltungen. Das Gericht stützt in diesem Punkt die Argumentation der Vorinstanz und erachtet die Teilnahmen an den verschiedenen Anlässen als gegeben, spricht ihm jedoch die Rolle als Mitorganisator und dementsprechend als exponierte Person ab. Auch zu seinen Tätigkeiten im Verein konnte er weder substanziierte Angaben machen, noch hat er diesbezüglich Beweismittel wie etwa Flyer, Chatverläufe oder Fotos eingereicht, was angesichts der heute zur Verfügung stehenden Medien durchaus möglich gewesen wäre.</w:t>
      </w:r>
    </w:p>
    <w:p>
      <w:r>
        <w:rPr>
          <w:b/>
        </w:rPr>
        <w:t>E. 4.3</w:t>
      </w:r>
    </w:p>
    <w:p>
      <w:r>
        <w:t>Der Beschwerdeführer kritisierte in seiner Beschwerde, die Vorinstanz habe sich bei der Ablehnung seines Asylgesuchs im Wesentlichen darauf gestützt, ein eingereichtes Dokument sei nicht echt und demzufolge seien seine Vorbingen nicht glaubhaft.</w:t>
      </w:r>
    </w:p>
    <w:p>
      <w:r>
        <w:rPr>
          <w:b/>
        </w:rPr>
        <w:t>E. 4.4</w:t>
      </w:r>
    </w:p>
    <w:p>
      <w:r>
        <w:t>Ein einziges Schreiben vermag alleine tatsächlich keine hinreichenden Rückschlüsse auf die Glaubhaftigkeit der Vorbringen zu begründen. Insgesamt ist es jedoch in die Gesamtwürdigung der Glaubhaftmachung einzubeziehen. Die Vorinstanz bezweifelte zu Recht die Echtheit des Vorladungsschreibens der sri-lankischen Armee - datiert vom (...). Februar 2015 - aufgrund der farblichen Abweichung des Logo's zum Originallogo. Obwohl die Echtheit, respektive die Fälschung des Dokuments nicht zweifelsfrei nachgewiesen werden konnte, ist davon auszugehen, dass eine derart farbliche Abweichung wie vorliegend, nicht mit der Nutzung eines anderen als des üblich verwendeten Farbdruckers oder dem Ausbleichen des Papiers, wie vom Beschwerdeführer argumentiert, erklärt werden kann.</w:t>
      </w:r>
    </w:p>
    <w:p>
      <w:r>
        <w:rPr>
          <w:b/>
        </w:rPr>
        <w:t>E. 4.5</w:t>
      </w:r>
    </w:p>
    <w:p>
      <w:r>
        <w:t>In einem Zwischenschritt ist festzustellen, dass die Schilderungen des Beschwerdeführers insgesamt nicht zu überzeugen vermögen und den Kriterien an die Glaubhaftigkeit nicht standhalten können, wobei das angeblich verfälschte Dokument vom (...). Februar 2015 lediglich als unbedeutender Faktor in der Gesamtwürdigung der Prüfung der Glaubhaft-machung dient. Es kann offengelassen werden, ob es sich dabei um eine Fälschung oder ein Original handelt.</w:t>
      </w:r>
    </w:p>
    <w:p>
      <w:r>
        <w:rPr>
          <w:b/>
        </w:rPr>
        <w:t>E. 4.6</w:t>
      </w:r>
    </w:p>
    <w:p>
      <w:r>
        <w:t>Weitere Ungereimtheiten ergeben sich auch hinsichtlich der Vorbringen zur familiären Verbindung zu einem hohen ehemaligen LTTE Mitglied. So bleiben die Erklärungen hierzu lediglich vage und rudimentär. Auch ist nicht ersichtlich, inwiefern der Beschwerdeführer in den Jahren 2014 und 2015 regen Kontakt zu seinem angeheirateten Cousin gehabt haben sollte, da sich dieser bereits seit ungefähr dem Jahr 2012 in F._______ aufgehalten habe.</w:t>
      </w:r>
    </w:p>
    <w:p>
      <w:r>
        <w:rPr>
          <w:b/>
        </w:rPr>
        <w:t>E. 4.7</w:t>
      </w:r>
    </w:p>
    <w:p>
      <w:r>
        <w:t>Zusammenfassend ist festzustellen, dass der Beschwerdeführer seine Vorbringen nicht glaubhaft darlegen konnte. Nach einer gründlichen Abwägung zwischen den glaubhaften und unglaubhaften Elementen seiner Vorbringen kommt das Bundesverwaltungsgericht zum Schluss, dass die unglaubhaften Elemente überwiegen und es ihm nicht gelungen ist, eine asylrelevante Verfolgung im Sinne von Art. 3 und Art. 7 AsylG glaubhaft zu machen.</w:t>
      </w:r>
    </w:p>
    <w:p>
      <w:r>
        <w:rPr>
          <w:b/>
        </w:rPr>
        <w:t>E. 5.1</w:t>
      </w:r>
    </w:p>
    <w:p>
      <w:r>
        <w:t>In einem nächsten Schritt ist zu prüfen, ob der Beschwerdeführer über ein erhöhtes Risikoprofil verfügt und ihm bei einer Wiedereinreise ins Heimatland eine asylrelevante Verfolgung droht.</w:t>
      </w:r>
    </w:p>
    <w:p>
      <w:r>
        <w:rPr>
          <w:b/>
        </w:rPr>
        <w:t>E. 5.2</w:t>
      </w:r>
    </w:p>
    <w:p>
      <w:r>
        <w:t>Gemäss dem Referenzurteil E-1866/2015 vom 15. Juli 2016 zur Situation von Rückkehrern aus Europa respektive der Schweiz, hat das Bundesverwaltungsgericht festgestellt, dass zurückkehrende tamilische Asylsuchende nicht generell einer ernstzunehmenden Gefahr von Verhaftung und Folter ausgesetzt seien (vgl. E. 8.3) und orientiert sich dabei an verschiedenen Risikofaktoren, welche sich begünstigend für Verhaftung oder Folter auswirken. Dabei unterscheidet das Gericht die zwischen stark risikobegründenden und schwach risikobegründeten Faktoren. Bei den ersteren handelt es sich um das Vorhandensein einer tatsächlichen oder vermeintlichen, aktuellen oder vergangenen Verbindung zur LTTE oder deren finanzielle Unterstützung, einem Eintrag in der sog. «Stop-List», aber auch die Teilnahme an exilpolitischen regimekritischen Handlungen. Unter schwach risikobegründete Faktoren einer Überprüfung durch die sri-lankischen Behörden fallen in vermindertem Mass Personen, welche über keine erforderlichen Heimatpapiere verfügen, welche zwangsweise nach Sri Lanka zurückgeführt werden oder über die Internationale Organisation für Migration (IOM) nach Sri Lanka zurückkehren (vgl. E. 8.12. bis E. 8.5.5.). Das Gericht wägt im Sinne einer Einzelfallprüfung ab, ob die glaubhaft gemachten Risikofaktoren eine asylrechtlich relevante Verfolgung darstellen. Dabei wird insbesondere geprüft, ob die rückkehrende Person von den sri-lankischen Behörden als bestrebt gilt, den tamilischen Separatismus wieder aufleben zu lassen (E. 8.5.1.)</w:t>
      </w:r>
    </w:p>
    <w:p>
      <w:r>
        <w:rPr>
          <w:b/>
        </w:rPr>
        <w:t>E. 5.3</w:t>
      </w:r>
    </w:p>
    <w:p>
      <w:r>
        <w:t>Der Beschwerdeführer konnte insgesamt nicht schlüssig und glaubhaft darlegen, dass er zum Zeitpunkt seiner Widereinreise ins Heimatland der Aufmerksamkeit der der sri-lankischen Behörden ausgesetzt sein würde. So erscheint es wenig wahrscheinlich, dass er aufgrund der Heirat seiner Cousine mit einem Bodyguard, welcher vor über sieben Jahren für ein ehemaliges hohes LTTE Mitglied tätig gewesen sein soll, ins Visier der heimatlichen Behörden fallen sollte, zumal gemäss seinen Aussagen keine seiner Verwandten Probleme wegen dieser familiären Beziehung mit den sri-lankischen Behörden erfahren haben. Daher erscheint es unwahrscheinlich, dass gerade der Beschwerdeführer Probleme bei seiner Rückkehr erfahren und die Aufmerksamkeit der sri-lankischen Behörden auf sich ziehen sollte.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w:t>
      </w:r>
    </w:p>
    <w:p>
      <w:r>
        <w:rPr>
          <w:b/>
        </w:rPr>
        <w:t>E. 7.6</w:t>
      </w:r>
    </w:p>
    <w:p>
      <w:r>
        <w:t>Auch die neusten Gewaltvorfälle in Sri Lanka am 22. April 2019 und der gleichentags von der sri-lankischen Regierung verhängte Ausnahmezustand vermögen nichts daran zu ändern (vgl. Neue Zürcher Zeitung [NZZ] vom 23. April 2019, Sri Lanka: Colombo spricht von islamistischem Terror, https://www.nzz.ch/.../sri-lanka-colombo-spricht-von-islamistischem-terror-ld.1476769; NZZ vom 25. April 2019, Polizei nimmt weitere 16 Verdächtige fest - was wir über die Anschläge in Sri Lanka wissen, https://www.nzz.ch/international/anschlaege-in-sri-lanka-was-wir-wissen-was-unklar-ist-ld.1476859; New York Times [NYT], What We Know and Don't Know About the Sri Lanka Attacks, https://www.nytimes.com/2019/04/22/world/asia/sri-lanka-attacks-bombings-explosions-updates.html?action=click&amp;module=Top%20Stories&amp;pgtype=Homepage, alle abgerufen 15. Juli 2019).</w:t>
      </w:r>
    </w:p>
    <w:p>
      <w:r>
        <w:rPr>
          <w:b/>
        </w:rPr>
        <w:t>E. 7.7</w:t>
      </w:r>
    </w:p>
    <w:p>
      <w:r>
        <w:t>Den Argumenten des Beschwerdeführers, er könne auf keine familiäre Hilfe hoffen, da seine Mutter diejenige gewesen sei, welche ihm in Notsituationen bereits einmal geholfen habe, und sich jetzt beim Vater des Beschwerdeführers in der Schweiz befinde, kann nicht gefolgt werden. Insgesamt ist festzustellen, dass der Beschwerdeführer in seinem Herkunftsort B._______ (Distrikt E._______) über ein tragfähiges familiäres Beziehungsnetz verfügt. So leben zwei Onkel sowie zwei Tanten mütterlicherseits in B._______. Aufgrund seiner Collegezeit und der ehemaligen aktiven Mitgliedschaft im (...) ist davon auszugehen, dass er auch in privater Hinsicht breitflächig vernetzt ist oder die vielfältigen Kontakte erneut aufnehmen kann. Zudem ist er im Besitz eines (...) und hat die Möglichkeit eine gutqualifizierte Ausbildung anzugehen. Folglich ist davon auszugehen, dass er sich in seinem Heimatland beruflich integrieren und auf ein tragfähiges Beziehungsnetz zurückgreifen kann. 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7.9</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19. Juli 2018 - unter Voraussetzung des Nachreichens einer Fürsorgebestätigung, welche mit Eingabe vom 3. August 2018 nachgereicht wurde, - gutgeheissen wurde, werden keine Verfahrenskosten auferlegt.</w:t>
      </w:r>
    </w:p>
    <w:p>
      <w:r>
        <w:rPr>
          <w:b/>
        </w:rPr>
        <w:t>E. 10</w:t>
      </w:r>
    </w:p>
    <w:p>
      <w:r>
        <w:t>Der Rechtsmitteleingabe vom 4. Juli 2018 wurde eine Kostennote beigelegt, welche einen Aufwand zur Redaktion der Beschwerde von 8.5 Stunden sowie Aktenstudium und länderspezifische Abklärungen von 3 Stunden und eine Dossiereröffnungspauschale beinhalten. Angesichts der Aktenlage erscheint der geltend gemachte Aufwand zu den länderspezifischen Abklärungen nicht als angemessen. Die Eröffnungspauschale wird praxisgemäss nicht vergütet. Entsprechend ist der Betrag zu kürzen und unter Berücksichtigung der in Betracht zu ziehenden Bemessungsfaktoren (Art. 9-13 VGKE) gerundet auf Fr. 1'462.-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