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D-3872/2006 vom 19. Oktober 2009</w:t>
      </w:r>
    </w:p>
    <w:p>
      <w:r>
        <w:t>Bundesverwaltungsgericht, 2009-10-19, DE</w:t>
      </w:r>
    </w:p>
    <w:p>
      <w:r>
        <w:rPr>
          <w:b/>
        </w:rPr>
        <w:t xml:space="preserve">Quelle: </w:t>
      </w:r>
      <w:r>
        <w:t>https://mcp.opencaselaw.ch/entscheid/bvger_D-3872_2006</w:t>
      </w:r>
    </w:p>
    <w:p>
      <w:r>
        <w:t>FR: TAF D-3872/2006 du 19 octobre 2009</w:t>
      </w:r>
    </w:p>
    <w:p>
      <w:r>
        <w:t>IT: TAF D-3872/2006 del 19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bei der vormaligen ARK am 31. Dezember 2006 hängig gewesenen Rechtsmittel übernommen. Das neue Verfahrensrecht ist anwendbar (vgl. Art. 53 Abs. 2 VGG).</w:t>
      </w:r>
    </w:p>
    <w:p>
      <w:r>
        <w:rPr>
          <w:b/>
        </w:rPr>
        <w:t>E. 1.3</w:t>
      </w:r>
    </w:p>
    <w:p>
      <w:r>
        <w:t>Die Beschwerdeführerin hat das Verfahren vor dem Bundesamt eingeleitet, ist durch die angefochtene Verfügung besonders berührt und hat ein schutzwürdiges Interesse an deren Aufhebung beziehungsweise Änderung. Damit ist sie zur Einreichung der Beschwerde legitimiert (Art. 105 AsylG i.V.m. Art. 37 VGG und Art. 48 Abs. 1 VwVG).</w:t>
      </w:r>
    </w:p>
    <w:p>
      <w:r>
        <w:rPr>
          <w:b/>
        </w:rPr>
        <w:t>E. 1.4</w:t>
      </w:r>
    </w:p>
    <w:p>
      <w:r>
        <w:t>Die Beschwerde wurde frist- und formgerecht eingereicht (Art. 105 AsylG i.V.m. Art. 37 VGG und Art. 50 und 52 VwVG). Demzufolge ist auf die Beschwerde einzutreten.</w:t>
      </w:r>
    </w:p>
    <w:p>
      <w:r>
        <w:rPr>
          <w:b/>
        </w:rPr>
        <w:t>E. 1.5</w:t>
      </w:r>
    </w:p>
    <w:p>
      <w:r>
        <w:t>Die Beschwerdeführerin hat einen in Deutschland wohnhaften Landsmann geheiratet und will gemeinsam mit ihm in Deutschland leben. Ihr Rechtsvertreter hat indessen in seiner Eingabe vom 27. August 2009 darauf hingewiesen, dass der Umzug seiner Mandantin nach Deutschland einstweilen am Umstand scheitere, dass die deutschen Behörden hierfür einen gültigen türkischen Reisepass verlangen würden, die türkische Botschaft in der Schweiz "eine Herausgabe desselben" zur Zeit aber noch verweigere. Das Bundesverwaltungsgericht hat diesem Umstand insofern Rechnung getragen, als es dem Rechtsvertreter mit Instruktionsverfügung vom 3. September 2009 zusicherte, mit einem materiellen Urteil im vorliegenden Verfahren noch bis Ende September 2009 zuzuwarten, um der Beschwerdeführerin zusätzliche Zeit für die Beschaffung ihres heimatlichen Reisepasses einzuräumen. Nachdem die Beschwerdeführerin indessen bis heute keinen Rückzug ihrer Beschwerde erklärt hat, sieht das Gericht keine weitere Veranlassung mehr, mit der Ausfällung eines materiellen Urteils in vorliegender Angelegenheit zuzuwarten.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Wie das BFM zutreffend festgehalten hat, sind die Schilderungen der Beschwerdeführerin im Zusammenhang mit ihrem Engagement für die DEHAP, ihren Festnahmen sowie dem gegen sie eingeleiteten Strafverfahren derart unbestimmt, stereotyp, unplausibel und unverbindlich ausgefallen (beispielsweise die geltend gemachten Beweggründe für das Verteilen von Flugblättern [vgl. act. A4 S. 3 unten]; die Behauptung, monatlich nicht mehr als fünf bis sechs Flugblätter verteilt und diese dabei an politisch uninteressierte Nachbarn und Verwandte abgegeben zu haben [vgl. act. A4 S. 4], die verbale Übertreibung, Ohrfeigen, Schläge und Beschimpfungen als "Folterarten" zu bezeichnen [vgl. act. A1 S. 4 unten]; die Unterlassung jeglicher Bemühungen, sich in der Türkei vor erfolgter Ausreise über den Stand des gegen sie laufenden Strafverfahrens zu informieren beziehungsweise anwaltliche Hilfe in Anspruch zu nehmen [vgl. act. A4 S. 5 i.V.m. S. 6]), dass bereits aus diesem Grund Zweifel an der Glaubhaftigkeit ihrer entsprechenden Gesamtvorbringen aufkommen.</w:t>
      </w:r>
    </w:p>
    <w:p>
      <w:r>
        <w:rPr>
          <w:b/>
        </w:rPr>
        <w:t>E. 4.2.1</w:t>
      </w:r>
    </w:p>
    <w:p>
      <w:r>
        <w:t>Hinsichtlich der von der Beschwerdeführerin mit der Beschwerde eingereichten Bescheinigung der Generalstaatsanwaltschaft der Republik in B._______ vom 12. Juli 2004 vertritt die Vorinstanz in ihrer Vernehmlassung vom 24. September 2004 den Standpunkt, das Dokument sei eine Fälschung, da es sowohl vom formellen Aufbau als auch vom materiellen Inhalt her nicht mit ähnlich gelagerten behördlichen Schreiben in der Türkei zu vereinbaren sei und in keiner Weise der dortigen Behördenpraxis entspreche. Der im Briefkopf genannte Sachverhalt stelle in der Türkei keine strafbare Handlung dar. Die im Schreiben bezeichnete Behörde wäre ausserdem nicht für die geltend gemachte strafrechtliche Verfolgung der bezeichneten politischen Delikte zuständig. Wenn im Übrigen tatsächlich ein Verfahren bestehen würde, sei davon auszugehen, dass die Beschwerdeführerin die entsprechende Anklageschrift beibringen würde.</w:t>
      </w:r>
    </w:p>
    <w:p>
      <w:r>
        <w:rPr>
          <w:b/>
        </w:rPr>
        <w:t>E. 4.2.2</w:t>
      </w:r>
    </w:p>
    <w:p>
      <w:r>
        <w:t>In der Beschwerde wird vorab eingewendet, die Vorinstanz habe die angeblichen Fälschungsmerkmale des Dokuments nicht hinlänglich spezifiziert, weshalb es der Beschwerdeführerin a priori nicht möglich sei, inhaltlich dazu Stellung zu nehmen. Die Vorinstanz sei deshalb anzuweisen, ihre diesbezügliche Argumentation zu konkretisieren, ansonsten aufgrund der geltenden Beweisregeln von der Echtheit der staatsanwaltlichen Bescheinigung ausgegangen werden müsse (vgl. Eingabe vom 28. Oktober 2004 S. 2 f. Ziff. 3 bis 5).</w:t>
      </w:r>
    </w:p>
    <w:p>
      <w:r>
        <w:rPr>
          <w:b/>
        </w:rPr>
        <w:t>E. 4.2.3</w:t>
      </w:r>
    </w:p>
    <w:p>
      <w:r>
        <w:t>Das Bundesverwaltungsgericht vertritt entgegen der Meinung des Rechtsvertreters die Auffassung, dass die Ausführungen des BFM hinsichtlich der Fälschungsmerkmale genügend transparent sind und keiner zusätzlichen Präzisierung bedürfen. Ausschlaggebend bleibt dabei der unmissverständliche Hinweis der Vorinstanz, dass der im Briefkopf genannte Sachverhalt - die Verbreitung von Bekanntmachungen der Partei DEHAP - in der Türkei keine strafbare Handlung darstellt, was im Übrigen auch mit der Tatsache harmoniert, dass die DEHAP bis zu ihrer am 17. August 2005 erfolgten Vereinigung mit der DTH (Demokratik Toplum Hareketi, Demokratische Volksbewegung) und der hieraus resultierenden neuen Partei DTP (Demokratik Toplum Partisi, Demokratische Gesellschaftspartei) immer legal blieb. Stellt sich somit das angebliche Verteilen von Flugblättern für die DEHAP als legale Handlung heraus, bleibt selbstverständlich kein Raum für ein behördliches Schreiben, dem zufolge gegen die Beschwerdeführerin aus den nämlichen Gründen ein Strafverfahren eingeleitet worden sein soll. Dass die Beschwerdeführerin demgegenüber während der zweitägigen Untersuchungshaft primär beschuldigt worden sei, für die PKK (Partiya Karkeren Kurdistan, Kurdische Arbeiterpartei) tätig gewesen zu sein und deshalb unter Umständen eine mehrjährige Gefängnisstrafe zu gewärtigen habe (vgl. Eingabe des Rechtsvertreters vom 10. September 2004 S. 2), wird durch die Aussagen der Beschwerdeführerin anlässlich ihrer Anhörungen in keinerlei Weise gestützt und muss daher als haltlose Behauptung bewertet werden. Aus diesem Grunde ist das besagte Dokument tatsächlich als Fälschung einzustufen. Damit ist gleichzeitig gesagt, dass sich auch die von der Beschwerdeführerin geltend gemachte zweitägige Untersuchungshaft ab dem 20. März 2004 und die dort erlittenen polizeilichen Misshandlungen als unglaubhaft erweisen. Zur Vermeidung einer allfälligen weiteren missbräuchlichen Verwendung ist das Dokument deshalb gestützt auf Art. 10 Abs. 4 AsylG gerichtlich einzuziehen. Nur ergänzend sei deshalb erwähnt, dass die Beschwerdeführerin es bezeichnenderweise bis heute unterlassen hat, irgendwelche weitere Dokumente beizubringen, welche ihre angebliche Involvierung in ein politisch motiviertes Strafverfahren belegen würden.</w:t>
      </w:r>
    </w:p>
    <w:p>
      <w:r>
        <w:rPr>
          <w:b/>
        </w:rPr>
        <w:t>E. 4.3</w:t>
      </w:r>
    </w:p>
    <w:p>
      <w:r>
        <w:t>Zusammenfassend ist festzuhalten, dass es der Beschwerdeführerin nicht gelungen ist, eine asylrechtlich erhebliche Verfolgung nachzuweisen beziehungsweise glaubhaft zu machen. Es erübrigt sich, auf weitere Vorbringen in der Beschwerde einzugehen, da sie am Entscheidergebnis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Weder die allgemeine Lage in der Türkei noch die persönliche Situation der Beschwerdeführerin lassen auf eine konkrete Gefährdung schliessen. Angesichts der heutigen Lage in der Türkei kann nicht von einer Situation allgemeiner Gewalt oder von kriegerischen oder bürgerkriegsähnlichen Verhältnissen gesprochen werden, welche für die Beschwerdeführerin bei einer Rückkehr eine konkrete Gefährdung darstellen würde. In persönlicher Hinsicht macht die Beschwerdeführerin zwar geltend, unter erheblichen psychischen Problemen zu leiden, welche als Folge ihrer zweitägigen Untersuchungshaft am 20. März 2004 und den dabei erlittenen Misshandlungen unter Einschluss sexueller Behelligungen durch Polizisten entstanden seien (siehe beispielsweise Eingabe vom 10. September 2004 S. 3 f., Eingabe vom 28. Oktober 2004 S. 1 i.V.m. S. 3, Eingabe vom 12. Januar 2005 S. 1 f.) und ihr eine Rückkehr in die Türkei ohne Retraumatisierung verunmöglichten. Diese Behauptungen erweisen sich indessen mangels Glaubhaftigkeit ihrer Asylvorbringen als nicht stichhaltig, so dass die Ursache ihrer angeblichen seelischen Erkrankung letztlich unklar bleibt. Die bei der Beschwerdeführerin diagnostizierte posttraumatische Depression mit Angststörungen bildet als solche keinen Grund, welcher gegen ihre Rückkehr in die Türkei spricht, zumal in ihrer Heimat die nötigen medizinischen Strukturen bestehen, um solche psychischen Erkrankungen zu behandeln. Bei dieser Sachlage ist auch der Antrag, Dr. E._______ sei durch das Gericht um ergänzende sachdienliche Auskünfte zu ersuchen (vgl. Eingabe vom 14. Juli 2009 S. 2), abzuweisen. Im Weiteren verfügt die Beschwerdeführerin in der Türkei über ein familiäres Beziehungsnetz, leben doch ihre Mutter sowie drei Geschwister nach wie vor in der Türkei (vgl. act. A1 S. 3 Ziff. 12). Dies sowie der Umstand, dass sie für keine Familienangehörigen zu sorgen hat, lassen den Vollzug der Wegweisung auch als zumutbar erscheinen.</w:t>
      </w:r>
    </w:p>
    <w:p>
      <w:r>
        <w:rPr>
          <w:b/>
        </w:rPr>
        <w:t>E. 6.6</w:t>
      </w:r>
    </w:p>
    <w:p>
      <w:r>
        <w:t>Der Vollzug der Wegweisung ist nicht möglich, wenn die Ausländerin oder der Ausländer weder in den Heimat- oder in den Herkunftsstaat noch in einen Drittstaat ausreisen oder dorthin gebracht werden kann (Art. 83 Abs. 2 AuG). Die Frage, ob der Vollzug der Wegweisung möglich ist, prüft das Bundesverwaltungsgericht angesichts der Tatsache, dass die für den Wegweisungsvollzug zuständigen Behörden mit Fragen der technischen Abwicklung einer Ausschaffung besser vertraut sind, nur mit Zurückhaltung. Der Umstand, dass die angeblichen Bemühungen der Beschwerdeführerin, sich zwecks Übersiedlung nach Deutschland durch die türkischen Behörden einen Reisepass ausstellen zu lassen, bisher fruchtlos verlaufen sind, bildet noch keinen Grund, von der Unmöglichkeit des Wegweisungsvollzugs auszugehen. Ohnehin wäre eine vorläufige Aufnahme wegen Unmöglichkeit des Wegweisungsvollzugs erst dann anzuordnen, wenn die Ausschaffung einer ausreisepflichtigen Person, die selbst nicht freiwillig in den Heimat- oder in einen Drittstaat ausreisen kann, während eines Jahres unmöglich geblieben ist, und sie dies auf eine Zeitdauer von mindestens einem Jahr weiterhin sein dürfte (vgl. EMARK 2006 Nr. 15 E. 2.4 S. 161 und E. 3.1 S. 163 f., EMARK 2002 Nr. 17 E. 6b S. 141). Aufgrund der heutigen Aktenlage kann der Vollzug der Wegweisung in diesem Sinne nicht als unmöglich bezeichnet werden.</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Dieser Betrag ist durch den am 3. September 2004 von der Beschwerdeführerin geleisteten Kostenvorschuss in selber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