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D-3860/2006 vom 18. Juni 2007</w:t>
      </w:r>
    </w:p>
    <w:p>
      <w:r>
        <w:t>Bundesverwaltungsgericht, 2007-06-18, DE</w:t>
      </w:r>
    </w:p>
    <w:p>
      <w:r>
        <w:rPr>
          <w:b/>
        </w:rPr>
        <w:t xml:space="preserve">Quelle: </w:t>
      </w:r>
      <w:r>
        <w:t>https://mcp.opencaselaw.ch/entscheid/bvger_D-3860_2006</w:t>
      </w:r>
    </w:p>
    <w:p>
      <w:r>
        <w:t>FR: TAF D-3860/2006 du 18 juin 2007</w:t>
      </w:r>
    </w:p>
    <w:p>
      <w:r>
        <w:t>IT: TAF D-3860/2006 del 18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und wendet dabei das neue Verfahrensrecht an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Die vorliegende Beschwerde richtet sich allein gegen den Vollzug der Wegweisung. Die Ziffern 1 (Verneinung der Flüchtlingseigenschaft), 2 (Ablehnung des Asylgesuches) und 3 (Anordnung der Wegweisung) des Dispositivs der angefochtenen Verfügung sind demzufolge mangels Anfechtung in Rechtskraft erwachsen. Gegenstand des vorliegenden Beschwerdeverfahrens bildet somit lediglich die Frage, ob wegen Unzulässigkeit, Unzumutbarkeit oder Unmöglichkeit des Vollzugs der Wegweisung die vorläufige Aufnahme anzuordnen ist (vgl. Art. 44 Abs. 2 AsylG i.V.m. Art. 14a Abs. 1 des Bundesgesetzes vom 26. März 1931 über Aufenthalt und Niederlassung der Ausländer [ANAG, SR 142.20]).</w:t>
      </w:r>
    </w:p>
    <w:p>
      <w:r>
        <w:rPr>
          <w:b/>
        </w:rPr>
        <w:t>E. 3.2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3.3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3.4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3.5</w:t>
      </w:r>
    </w:p>
    <w:p>
      <w:r>
        <w:t>Der Beschwerdeführer verfügt weder über eine fremdenpolizeiliche Aufenthaltsbewilligung noch über einen Anspruch auf Erteilung einer solchen. Die Wegweisung wurde demnach zu Recht angeordnet (Art. 44 Abs. 1 AsylG; Entscheidungen und Mitteilungen der Schweizerischen Asylrekurskommission [EMARK] 2001 Nr. 21).</w:t>
      </w:r>
    </w:p>
    <w:p>
      <w:r>
        <w:rPr>
          <w:b/>
        </w:rPr>
        <w:t>E. 3.6</w:t>
      </w:r>
    </w:p>
    <w:p>
      <w:r>
        <w:t>Der Beschwerdeführer machte auf Beschwerdeebene geltend, die serbische Minderheit im Kosovo sei gefährdet. Überdies liege der Herkunftsort des Beschwerdeführers - X._______ - in der gefährlichsten Gegend des Kosovo, und es fehlten die wirtschaftlichen Voraussetzungen für eine Rückkehr. Auch könne er von seinen Verwandten keine Unterstützung erwarten. Ebenso wenig existiere eine innerstaatliche Aufenthaltsalternative, zumal er nicht von einer gesicherten Existenzgrundlage ausgehen könne und ausserhalb des Kosovo über kein soziales Beziehungsnetz verfüge.</w:t>
      </w:r>
    </w:p>
    <w:p>
      <w:r>
        <w:rPr>
          <w:b/>
        </w:rPr>
        <w:t>E. 3.7</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 wie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w:t>
      </w:r>
    </w:p>
    <w:p>
      <w:r>
        <w:rPr>
          <w:b/>
        </w:rPr>
        <w:t>E. 3.8</w:t>
      </w:r>
    </w:p>
    <w:p>
      <w:r>
        <w:t>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Es ergeben sich vorliegend weder aus den Aussagen des Beschwerdeführers noch aus den Akten gewichtige Anhaltspunkte für die Annahme, dass ihm für den Fall einer Rückführung nach Serbien mit beachtlicher Wahrscheinlichkeit eine nach Art. 3 EMRK verbotene Strafe oder Behandlung drohen würde, dies umso weniger, als sich der Beschwerdeführer im Rahmen der Niederlassungsfreiheit ausserhalb des Kosovo in Serbien niederlassen kann, wo er der Mehrheitsethnie angehört. Die allgemeine Menschenrechtssituation in Serbien jedenfalls lässt den Wegweisungsvollzug zum heutigen Zeitpunkt klarerweise nicht als unzulässig erscheinen. Was die Frage nach der allfälligen Suizidalität des Beschwerdeführers betrifft, so kann zunächst auf die diesbezügliche bundesgerichtliche Rechtsprechung im Falle einer zwangsweisen Rückführung verwiesen werden, wo gleichermassen die allfällige Verletzung von Art. 3 EMRK geprüft wird (siehe Urteil des Bundesgerichts vom 29. August 2001 i.S. S.D. und M.D., 2P.116/2001, Ziff. 4c).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Rückführung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Rückführung zu verhindern (vgl. den Unzulässigkeitsentscheid des EGMR vom 7. Oktober 2004 i.S. Dragan und andere gegen Deutschland, Nr. 33743/03, angeführt in EMARK 2005 Nr. 23 E. 5.1 S. 212). Vor diesem Hintergrund ist der Vollzug der Wegweisung des Beschwerdeführers in Beachtung der massgeblichen völker- und landesrechtlichen Bestimmungen als zulässig zu bezeichnen.</w:t>
      </w:r>
    </w:p>
    <w:p>
      <w:r>
        <w:rPr>
          <w:b/>
        </w:rPr>
        <w:t>E. 3.9</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 In der Beschwerdeschrift wird die Zumutbarkeit des Vollzugs der Wegweisung in den Kosovo bestritten. Diesbezüglich räumte die Vorinstanz in der Vernehmlassung vom 5. März 2007 ein, entgegen den Ausführungen in der angefochtenen Verfügung werde eine solche Wegweisung derzeit als nicht zumutbar erachtet. In Anbetracht dieser nach wie vor aktuellen Praxis erübrigen sich an dieser Stelle weitere Erwägungen zu den den Kosovo betreffenden Vorbringen und Beweismitteln. Hingegen stellt sich nach wie vor die Frage, ob dem Beschwerdeführer eine innerstaatliche Aufenthaltsalternative in Serbien (ausserhalb des Kosovo) zur Verfügung steht. Sie ist zu bejahen, weil davon auszugehen ist, der Beschwerdeführer könne sich in Z._______ registrieren lassen, hat er doch bereits eine dort ausgestellte Geburtsurkunde zu den Akten gereicht. Dementsprechend dürfte die Niederlassung des Beschwerdeführers in Serbien jedenfalls nicht mangels eines Registereintrags scheitern. Des Weiteren ergibt sich auch aus dem vom Beschwerdeführer eingereichten Update vom 1. März 2004 zur sozialen und medizinischen Lage der intern Vertriebenen (Serbien-Montenegro) der Schweizerischen Flüchtlingshilfe (SFH), dass er keiner verletzlichen Gruppe angehört, zumal er als studierter Volkswirtschafter schon aufgrund seiner weit überdurchschnittlichen beruflichen Qualifikation auch über gesteigerte Erwerbschancen verfügt. Im Übrigen hat er auch in der Schweiz eine gewisse Flexibilität bei der Jobsuche unter Beweis gestellt und sich mit Erfolg in der Gastronomie betätigt. Es ist nicht einzusehen, weshalb ihm der Aufbau einer neuen Existenz - bei entsprechendem Bemühen - nicht auch in Serbien gelingen sollte. Die blossen sozialen und wirtschaftlichen Schwierigkeiten, von welchen die ansässige Bevölkerung betroffen ist, stellen keine existenzbedrohende Situation dar, welche den Vollzug der Wegweisung eines Ausländers in den Heimatstaat als unzumutbar erscheinen liesse (EMARK 1994 Nr. 19 E. 6b S. 149). In diesem Zusammenhang bemisst sich die - in casu zu bejahende - Zumutbarkeit nach den durchschnittlichen örtlichen Verhältnissen und nicht nach schweizerischen Standards. Zudem hat der Beschwerdeführer auch serbischen Militärdienst geleistet, weshalb der Bezug zu Serbien grundsätzlich gegeben ist, obwohl er dort - nach eigenen Angaben - über kein familiäres Beziehungsnetz verfügt. Indessen stellt das fehlende soziale Netz in Serbien angesichts des Alters von 31 Jahren kein Hindernis dar, kann er sich doch ein neues aufbauen. Schliesslich bleibt zu prüfen, ob allfällige gesundheitliche Probleme des Beschwerdeführers ein individuelles Vollzugshindernis bilden könnten. Das Ermessen, welches die "Kann-Bestimmung" von Art. 14a Abs. 4 ANAG den zuständigen Behörden einräumt, erfordert in jedem einzelnen Fall, die Situation, welche sich für die betroffene Person nach Vollzug der Wegweisung im Heimatland ergäbe, und die damit verbundenen humanitären Aspekte den öffentlichen Interessen gegenüberzustellen, welche für den Vollzug der Wegweisung sprechen (vgl. EMARK 1994 Nr. 18 E. 4d S. 140 f., 2003 Nr. 17 E. 6a S. 107).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Letztere Bedingungen sind für den Beschwerdeführer - auch unter Berücksichtigung der vorgebrachten Suiziddrohung - nicht erfüllt. Den Akten können keine Hinweise auf eine ernsthafte Erkrankung des Beschwerdeführers entnommen werden, weshalb es sich erübrigt, einen Arztbericht einzuholen. Sollte dennoch im Zusammenhang mit der Suiziddrohung eine ärztliche Behandlung notwendig werden, ist dem Beschwerdeführer zuzumuten, die medizinische Infrastruktur seines Heimatlandes in Anspruch zu nehmen. Zudem kann der Beschwerdeführer bei der Vorinstanz unter Vorlage entsprechender ärztlicher Atteste medizinische Rückkehrhilfe beantragen (Art. 93 Abs. 1 Bst. c AsylG i.V.m. Art. 75 AsylV 2). Schliesslich kann das BFM dem Beschwerdeführer für die Organisation seiner Rückkehr eine angemessene Ausreisefrist ansetzen.</w:t>
      </w:r>
    </w:p>
    <w:p>
      <w:r>
        <w:rPr>
          <w:b/>
        </w:rPr>
        <w:t>E. 3.10</w:t>
      </w:r>
    </w:p>
    <w:p>
      <w:r>
        <w:t>Die Vorbringen in der Beschwerdeschrift sowie die eingereichten Beweismittel sind insgesamt nicht geeignet, zu einer veränderten Betrachtungsweise zu führen, weshalb es sich erübrigt, näher darauf einzugehen. Gestützt auf die vorstehenden Ausführungen ist in Berücksichtigung der gesamten Umstände der Vollzug der Wegweisung des Beschwerdeführers als zumutbar zu erachten.</w:t>
      </w:r>
    </w:p>
    <w:p>
      <w:r>
        <w:rPr>
          <w:b/>
        </w:rPr>
        <w:t>E. 3.11</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3.12</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Wie sich aus den Akten ergibt, ist der Beschwerdeführer nicht bedürftig im Sinne von Art. 65 Abs. 1 VwVG, weshalb das Gesuch um Gewährung der unentgeltlichen Rechtspflege abzuweisen ist.</w:t>
      </w:r>
    </w:p>
    <w:p>
      <w:r>
        <w:rPr>
          <w:b/>
        </w:rPr>
        <w:t>E. 6</w:t>
      </w:r>
    </w:p>
    <w:p>
      <w:r>
        <w:t>Bei diesem Ausgang des Verfahrens sind die Kosten dem Beschwerdeführer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