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D-385/2024 vom 8. Januar 2024</w:t>
      </w:r>
    </w:p>
    <w:p>
      <w:r>
        <w:t>Bundesverwaltungsgericht, 2024-01-08, DE</w:t>
      </w:r>
    </w:p>
    <w:p>
      <w:r>
        <w:rPr>
          <w:b/>
        </w:rPr>
        <w:t xml:space="preserve">Quelle: </w:t>
      </w:r>
      <w:r>
        <w:t>https://mcp.opencaselaw.ch/entscheid/bvger_D-385_2024_d20240108</w:t>
      </w:r>
    </w:p>
    <w:p>
      <w:r>
        <w:t>FR: TAF D-385/2024 du 8 janvier 2024</w:t>
      </w:r>
    </w:p>
    <w:p>
      <w:r>
        <w:t>IT: TAF D-385/2024 del 8 gennaio 2024</w:t>
      </w:r>
    </w:p>
    <w:p>
      <w:pPr>
        <w:pStyle w:val="Heading2"/>
      </w:pPr>
      <w:r>
        <w:t>Regeste</w:t>
      </w:r>
    </w:p>
    <w:p>
      <w:r>
        <w:t>Asyl und Wegweisung (beschleunigtes Verfahren) | Asyl und Wegweisung (beschleunigtes Verfahren); Verfügung des SEM vom 8. Januar 2024</w:t>
      </w:r>
    </w:p>
    <w:p>
      <w:pPr>
        <w:pStyle w:val="Heading2"/>
      </w:pPr>
      <w:r>
        <w:t>Erwägungen</w:t>
      </w:r>
    </w:p>
    <w:p>
      <w:r>
        <w:rPr>
          <w:b/>
        </w:rPr>
        <w:t>E. 1</w:t>
      </w:r>
    </w:p>
    <w:p>
      <w:r>
        <w:t>Das Bundesverwaltungsgericht entscheidet auf dem Gebiet des Asyls in der Regel – und auch hier – endgültig über Beschwerden gegen Verfügun- gen (Art. 5 VwVG) des SEM (Art. 105 AsylG i.V.m. Art. 31–33 VGG; Art. 83 Bst. d Ziff. 1 BGG). Das Verfahren richtet sich nach dem VwVG, dem VGG und dem BGG, soweit das AsylG nichts anderes bestimmt (Art. 37 VGG und Art. 6 AsylG). Der Beschwerdeführer ist als Verfügungsadressat zur Beschwerdeführung legitimiert (Art. 48 Abs. 1 VwVG). Auf die frist- und formgerecht eingereichte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D-385/2024 Seite 5 Gestützt auf Art. 111a Abs. 1 AsylG wurde auf die Durchführung eines Schriftenwechsels verzichtet.</w:t>
      </w:r>
    </w:p>
    <w:p>
      <w:r>
        <w:rPr>
          <w:b/>
        </w:rPr>
        <w:t>E. 4.1</w:t>
      </w:r>
    </w:p>
    <w:p>
      <w:r>
        <w:t>Das SEM führte zur Begründung seines Entscheids aus, dass die Vor- bringen des Beschwerdeführers flüchtlingsrechtlich nicht relevant seien. So seien die von ihm geltend gemachten Konfrontationen mit der Polizei für ihn ohne Konsequenzen geblieben. Er sei weder festgenommen oder angeklagt, noch sei ein Strafverfahren gegen ihn eröffnet worden. Im Falle seines Engagements für die Erdbebenopfer sei ihm (…) sogar gestattet worden. Die genannten Vorfälle hätten sowohl einzeln betrachtet als auch in der Summe in ihrer Intensität nicht ein Mass erreicht, das ein menschen- würdiges Leben in der Türkei verunmöglichen oder in derart unzumutbarer Weise erschweren würde, sodass er sich der Lage nur durch eine Flucht ins Ausland entziehen könne. Weiter sei auch nicht von künftigen Verfol- gungsmassnahmen auszugehen. Mit seinem Engagement für die TÖP be- wege er sich in einem vom türkischen Staat anerkanntem Organ. So gebe es auch keine konkreten Verfolgungsmomente aufgrund seiner Tätigkeit. Die türkischen Behörden hätten keine rechtlichen Schritte gegen ihn unter- nommen, da gegen ihn auch nichts in diesem Zusammenhang vorliegen dürfte. Dies zeige sich letztlich auch darin, dass er Ende (…) einen türki- schen Pass beantragt und erhalten habe, sodass er (…) sein Heimatland legal habe verlassen können. Es gebe keine Hinweise, dass er die Türkei aufgrund einer akuten Bedrohungslage verlassen habe oder ihm in Zukunft ernsthafte Nachteile drohten, weswegen er die Flüchtlingseigenschaft nach Art. 3 AsyIG nicht erfülle und sein Asylgesuch abzulehnen sei. Den Vollzug der Wegweisung erachtete das SEM als durchführbar. Der Be- schwerdeführer verfüge weiterhin über ein tragfähiges familiäres Bezie- hungsnetz, soziale Kontakte und Arbeitserfahrung.</w:t>
      </w:r>
    </w:p>
    <w:p>
      <w:r>
        <w:rPr>
          <w:b/>
        </w:rPr>
        <w:t>E. 4.2</w:t>
      </w:r>
    </w:p>
    <w:p>
      <w:r>
        <w:t>In der Beschwerde wird entgegnet, der Beschwerdeführer habe im Jahr 2000 ein Asylgesuch in der Schweiz gestellt, da er gefürchtet habe, in den Militärdienst eingezogen zu werden. Bei seiner Rückkehr (…) sei er am Flughafen durch die Polizei kurz festgehalten worden, danach aber auf freien Fuss gekommen. Er habe sich jahrelang versteckt, um nicht einge- zogen zu werden. Schliesslich habe er sich durch Zahlung einer Ersatzab- gabe mit Hilfe seiner Familie von dieser Pflicht entledigen können. Seither sei er dem türkischen Staat bekannt und suspekt. Weiter sei er politisch links situiert, ernähre sich vegan und sei politisch aktiv. Ausserdem sei er sehr sensibel und leide am (…)-Syndrom. Dies alles mache ihn für psychi- schen Druck sehr anfällig. Weiter habe er einen (…) und (…) , welche</w:t>
      </w:r>
    </w:p>
    <w:p>
      <w:r>
        <w:t>D-385/2024 Seite 6 zusammen mit seinem Aktivismus dazu führten, dass er bei den Behörden unter Verdacht stehe, die militanten Formen des kurdischen linken Wider- stands in der Nachfolge oder im Umfeld der PKK, kurz: den «Terrorismus», zu unterstützen. Im E-Devlet würden sich Einträge über die Vereinsaktivi- täten befinden und es bestehe ein politisches Datenblatt über ihn, was da- rauf deute, dass zwar noch nicht genügend Hinweise gesammelt worden seien um ihm Unterstützung des Terrorismus vorwerfen zu können, eine Strafuntersuchung aber nur noch eine Frage der Zeit sei. Ausserdem sei die legale Ausreise vor dem Hintergrund zu sehen, dass er sich eines Schleppers bedient habe und die Behörden notorisch korrupt seien. Weiter habe er im vorinstanzlichen Verfahren dargelegt, dass es in der Türkei zu einem Verfahren, beziehungsweise zu einer Untersuchung gegen ihn ge- kommen sei. Er habe aber die nötigen Beweise nicht beibringen können. Die Vorinstanz hätte weitere Abklärungen machen müssen anstatt sein Ge- such im beschleunigten Verfahren zu entscheiden. Die bisherigen Mass- nahmen der Polizei stellten nur Vorboten der unmittelbar zu befürchtenden nächsten Schritte mit Polizeiverhören dar, bei welchen Folter in der Türkei notorisch zur Anwendung komme. Durch seine Ausreise in die Schweiz, wo linke kurdische Parteien sich sehr stark politisch engagierten, und sei- nen Kontakt mit befreundeten politischen Kreisen in der Schweiz kämen laufend Nachfluchtgründe hinzu. Schliesslich bestehe im Falle einer Rück- kehr auch die Gefahr, dass er psychisch schwer erkranke.</w:t>
      </w:r>
    </w:p>
    <w:p>
      <w:r>
        <w:rPr>
          <w:b/>
        </w:rPr>
        <w:t>E. 5</w:t>
      </w:r>
    </w:p>
    <w:p>
      <w:r>
        <w:t>Der Antrag, die angefochtene Verfügung sei zu kassieren, weil es das SEM unterlassen habe, eine allfällige Strafuntersuchung gegen den Beschwer- deführer umfassend abzuklären, ist vorab zu behandeln.</w:t>
      </w:r>
    </w:p>
    <w:p>
      <w:r>
        <w:rPr>
          <w:b/>
        </w:rPr>
        <w:t>E. 5.1</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 Asyl- suchenden (Art. 8 AsylG; Art. 13 VwVG). Unrichtig ist die Sachverhaltsfest- 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den Entscheid wesentlichen Sachumstände berücksichtigt wurden (vgl. dazu BVGE 2016/2 E. 4.3).</w:t>
      </w:r>
    </w:p>
    <w:p>
      <w:r>
        <w:t>D-385/2024 Seite 7</w:t>
      </w:r>
    </w:p>
    <w:p>
      <w:r>
        <w:rPr>
          <w:b/>
        </w:rPr>
        <w:t>E. 5.2</w:t>
      </w:r>
    </w:p>
    <w:p>
      <w:r>
        <w:t>Der Beschwerdeführer machte in der Anhörung vom 27. Dezember 2023 keine eröffnete Strafuntersuchung geltend, sondern gab an, dass seit seiner Ausreise nichts geschehen sei (…). In der Stellungnahme zum Ent- wurf des Asylentscheid vom 4. Januar 2024 wurde geltend gemacht, im Falle einer Rückkehr in die Türkei werde der Beschwerdeführer verhaftet oder entführt, ohne dies aber weiter zu substantiieren. Erst in der Be- schwerde wird vorgebracht, es sei gegen ihn ein Verfahren eröffnet oder aber Untersuchungen eingeleitet worden, er habe aber seit seinem Asyl- gesuch zu wenig Zeit gehabt, die notwendigen Unterlagen zu besorgen. Es obliegt grundsätzlich dem Beschwerdeführer, allfällige konkrete, straf- rechtliche Verfolgung nachzuweisen, Beweismittel vollständig zu bezeich- nen und sie unverzüglich einzureichen oder, soweit dies zumutbar er- scheint, sich darum zu bemühen, sie innerhalb einer angemessenen Frist zu beschaffen (vgl. Art. 8 Abs. 1 Bst. d AsylG), und dies wäre ihm auch zuzumuten gewesen, zumal er seit Beginn des vorinstanzlichen Verfahrens rechtlich vertreten war. Vorliegend hat er im vorinstanzlichen Verfahren we- der mögliche Beweismittel bezeichnet, die er noch einbringen möchte, noch eine eröffnete Strafuntersuchung überhaupt erwähnt. Bei dieser Sachlage hat das SEM zu Recht auf die Vornahme von zusätzlichen Ab- klärungen verzichtet.</w:t>
      </w:r>
    </w:p>
    <w:p>
      <w:r>
        <w:rPr>
          <w:b/>
        </w:rPr>
        <w:t>E. 5.3</w:t>
      </w:r>
    </w:p>
    <w:p>
      <w:r>
        <w:t>In der Beschwerde wird in bloss pauschaler Weise geltend gemacht, der Beschwerdeführer habe im vorinstanzlichen Verfahren beziehungs- weise seit seiner Anhörung am 27. Dezember 2023 nicht genügend Zeit gehabt, die notwendigen Unterlagen zu besorgen. Es wird aber weder ein laufendes Verfahren in der Türkei konkret bezeichnet noch ein entspre- chendes Dokument eingereicht. Auch wird nicht in Aussicht gestellt, dass der Beschwerdeführer weitere Dokumente – geschweige denn welche Do- kumente –einreichen werde und wie er an diese zu gelangen beabsichtige. Vor diesem Hintergrund besteht keine Veranlassung, eine Nachfrist für die Einreichung von möglichen weiteren Dokumente anzusetzen. Der rechts- erhebliche Sachverhalt ist daher – auch im heutigen Zeitpunkt – ohne wei- tere Abklärungen als erstellt zu erachten. Der Kassationsantrag ist dem- nach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D-385/2024 Seite 8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Gericht gelangt nach Durchsicht der Akten zum Schluss, dass die Ausführungen des SEM zu bestätigen sind, weshalb zur Vermeidung von Wiederholungen auf die zutreffenden Erwägungen verwiesen werden kann (vgl. angefochtene Verfügung S. 4 bis 5 und E. 4.1 vorstehend). Die Vor- instanz hat die Vorbringen des Beschwerdeführers in der angefochtenen Verfügung mit überzeugender Begründung als nicht asylrelevant qualifi- ziert. Wie nachfolgend dargelegt, sind die Einwände in der Beschwerde nicht geeignet, zu einer anderen Einschätzung zu gelangen.</w:t>
      </w:r>
    </w:p>
    <w:p>
      <w:r>
        <w:rPr>
          <w:b/>
        </w:rPr>
        <w:t>E. 7.2</w:t>
      </w:r>
    </w:p>
    <w:p>
      <w:r>
        <w:t>Soweit in der Beschwerde erneut auf die bereits im vorinstanzlichen Verfahren erwähnten Kontrollen des Beschwerdeführers durch die Polizei aufgrund seiner politischen Tätigkeit hingewiesen wird, ist vollumfänglich auf die angefochtene Verfügung zu verweisen, deren Ausführungen in der Beschwerde nichts entgegengesetzt wird, was zu einer anderen Beurtei- lung führen könnte. Die geltend gemachte Wehrdienstverweigerung ist ebenfalls nicht geeignet, ein asylrechtlich relevantes Verfolgungsinteres- sen zu begründen, da er sich offenbar durch eine Zahlung davon befreien konnte und seither diesbezüglich nicht weiter belangt wurde.</w:t>
      </w:r>
    </w:p>
    <w:p>
      <w:r>
        <w:rPr>
          <w:b/>
        </w:rPr>
        <w:t>E. 7.3</w:t>
      </w:r>
    </w:p>
    <w:p>
      <w:r>
        <w:t>In der Beschwerde wird sodann erstmals vorgebracht, in der Türkei sei ein Strafverfahren oder aber eine Untersuchung gegen den Beschwerde- führer eröffnet worden. Diesbezüglich gelingt es nicht, das Gericht von der Glaubhaftigkeit dieses Vorbringens zu überzeugen, nachdem weder Ein- zelheiten zum vermeintlichen Verfahren noch zu den in Aussicht gestellten Beweisen darlegt werden. Auch wird nicht konkretisiert, ob nun ein Verfah- ren oder lediglich eine Untersuchung laufe, respektive wie und wann der Beschwerdeführer davon erfahren habe. Im Falle eines Verfahrens wäre</w:t>
      </w:r>
    </w:p>
    <w:p>
      <w:r>
        <w:t>D-385/2024 Seite 9 wohl eine schriftliche Eröffnung desselben ergangen, die der Beschwerde- führer umgehend hätte einreichen können. Entsprechend vermag die Er- klärung, aufgrund der knapp bemessenen Zeit im beschleunigten Verfah- ren sei es ihm nicht gelungen, entsprechende Dokumente aus dem Aus- land zu besorgen, das Gericht nicht zu überzeugen (vgl. bezüglich der in Aussicht gestellten Beweismittel E. 5.2 und 5.3 m.w.H.). Im Übrigen ist an- zufügen, dass – sollte es sich lediglich um eine dem Beschwerdeführer nicht schriftlich eröffnete Untersuchung handeln, sich die Frage stellen würde, wieso er überhaupt davon wissen sollte. Der Vollständigkeit halber ist hierzu festzustellen, dass eine strafrechtliche Untersuchung nicht zwin- gend zu einer Anklage führen respektive in einer Verurteilung enden muss, weswegen ihr hier ohnehin keine flüchtlingsrechtliche Relevanz zukommen würde.</w:t>
      </w:r>
    </w:p>
    <w:p>
      <w:r>
        <w:rPr>
          <w:b/>
        </w:rPr>
        <w:t>E. 7.4</w:t>
      </w:r>
    </w:p>
    <w:p>
      <w:r>
        <w:t>Es ist aufgrund des Gesagten nicht davon auszugehen, der Beschwer- deführer weise ein politisches Profil auf, aufgrund dessen er im Zeitpunkt der Ausreise im Visier der türkischen Behörden gestanden hätte. Es fehlt mithin klarerweise an Anhaltspunkten, der Beschwerdeführer habe unter einem – wie in der Beschwerde geltend gemacht – unerträglichen psychi- schen Druck im Sinne von Art. 3 Abs. 2 AsylG gestanden.</w:t>
      </w:r>
    </w:p>
    <w:p>
      <w:r>
        <w:rPr>
          <w:b/>
        </w:rPr>
        <w:t>E. 7.5</w:t>
      </w:r>
    </w:p>
    <w:p>
      <w:r>
        <w:t>Im Sinne subjektiver Nachfluchtgründe wird in der Beschwerde schliesslich auf die Flucht des Beschwerdeführers in die Schweiz, wo linke kurdische Parteien tätig seien, sowie seine Freundschaft zu kurdischen Ak- tivisten verwiesen. Hierzu ist festzustellen, dass seine Kontakte zu kurdi- schen Aktivisten in der Schweiz bislang unbelegt geblieben sind und der Beschwerdeführer auch nicht geltend macht, selbst politisch aktiv zu sein. Die blosse Flucht in die Schweiz und die freundschaftliche Nähe zu unge- nannt gebliebenen Aktivisten sind nicht geeignet, eine relevante Verfol- gungsfurcht zu begründen. Daran vermag auch die Behauptung, kurdische Organisationen in der Schweiz seien durch türkische Spitzel unterwandert, nichts zu ändern. Im Übrigen kann eine öffentliche Exponierung, die den Eindruck erweckt, dass der Beschwerdeführer zu einer Gefahr für den Be- stand des türkischen Regimes werden könnte, und aufgrund welcher da- von ausgegangen werden müsste, dass er damit das Interesse der heimat- lichen Behörden auf sich gezogen hat und als regimefeindliche Person na- mentlich identifiziert und registriert wurde (vgl. dazu beispielsweise die Ur- teile des BVGer D-3149/2020 vom 11. Mai 2022 E. 5.2.1 und D-36/2018 vom 12. Oktober 2020 E. 7.21), nicht festgestellt werden. Die geltend ge- machten subjektiven Nachfluchtgründe sind somit nicht geeignet, eine</w:t>
      </w:r>
    </w:p>
    <w:p>
      <w:r>
        <w:t>D-385/2024 Seite 10 begründete Furcht vor flüchtlingsrechtlich relevanter Verfolgung im Falle der Rückkehr in die Türkei zu begründen.</w:t>
      </w:r>
    </w:p>
    <w:p>
      <w:r>
        <w:rPr>
          <w:b/>
        </w:rPr>
        <w:t>E. 7.6</w:t>
      </w:r>
    </w:p>
    <w:p>
      <w:r>
        <w:t>Nach dem Gesagten bestehen keine konkreten Hinweise dafür, dass der Beschwerdeführer im Zeitpunkt seiner Ausreise einer asylbeachtlichen Verfolgung oder einer entsprechenden Verfolgungsgefahr ausgesetzt war oder im Falle seiner Rückkehr in die Türkei ernsthafte Nachteile im Sinne von Art. 3 Abs. 2 AsylG zu gewärtigen hätte. Demnach hat die Vorinstanz zu Recht die Flüchtlingseigenschaft verneint und das Asylgesuch abge- 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D-385/2024 Seite 11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(namentlich seit dem Putschversuch im Jahr 2016) verschlech- tert hat, lässt sie den Wegweisungsvollzug zum heutigen Zeitpunkt eben- 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w:t>
      </w:r>
    </w:p>
    <w:p>
      <w:r>
        <w:t>D-385/2024 Seite 12 2013/2 E. 9.6). Der Beschwerdeführer stammt indessen nicht aus einer dieser zwei Provinzen, sondern lebte in der Provinz (…).</w:t>
      </w:r>
    </w:p>
    <w:p>
      <w:r>
        <w:rPr>
          <w:b/>
        </w:rPr>
        <w:t>E. 9.3.2</w:t>
      </w:r>
    </w:p>
    <w:p>
      <w:r>
        <w:t>In individueller Hinsicht ist zunächst festzustellen, dass der Be- schwerdeführer an keinen aktenkundigen, relevanten gesundheitlichen Problemen leidet. Weder das geltend gemachte (…)-Syndrom noch die an- geblichen psychischen Leiden aufgrund des behördlichen Drucks stellen medizinisch bedingte Vollzugshindernisse dar. Im Weiteren verfügt er über ausreichend Arbeitserfahrung und hat gemäss eigenen Aussagen bereits an verschiedenen Orten in der Türkei gelebt. Darüber hinaus verfügt der Beschwerdeführer in der Türkei über ein tragfähiges familiäres Bezie- hungsnetz. Demnach weist nichts darauf hin, dass er bei einer Rückkehr in eine existenzielle Notlage geraten würde.</w:t>
      </w:r>
    </w:p>
    <w:p>
      <w:r>
        <w:rPr>
          <w:b/>
        </w:rPr>
        <w:t>E. 9.3.3</w:t>
      </w:r>
    </w:p>
    <w:p>
      <w:r>
        <w:t>Der Vollzug der Wegweisung erweist sich nach dem Gesagten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Das Beschwerdeverfahren ist mit dem vorliegenden Urteil abge- schlossen. Das Gesuch um Verzicht auf das Erheben eines Kostenvor- schusses ist damit gegenstandslos geworden.</w:t>
      </w:r>
    </w:p>
    <w:p>
      <w:r>
        <w:rPr>
          <w:b/>
        </w:rPr>
        <w:t>E. 11.2</w:t>
      </w:r>
    </w:p>
    <w:p>
      <w:r>
        <w:t>Das Gesuch um Gewährung der unentgeltlichen Prozessführung (Art. 65 Abs. 1 VwVG) ist ungeachtet der geltend gemachten prozessualen Be- dürftigkeit abzuweisen, da sich aus den vorstehenden Erwägungen ergibt, dass die Beschwerdebegehren als aussichtslos zu erachten waren.</w:t>
      </w:r>
    </w:p>
    <w:p>
      <w:r>
        <w:t>D-385/2024 Seite 13</w:t>
      </w:r>
    </w:p>
    <w:p>
      <w:r>
        <w:rPr>
          <w:b/>
        </w:rPr>
        <w:t>E. 11.3</w:t>
      </w:r>
    </w:p>
    <w:p>
      <w:r>
        <w:t>Bei diesem Ausgang des Verfahrens sind dessen Kosten dem Be- schwerdeführer aufzuerlegen (Art. 63 Abs. 1 VwVG) und auf Fr. 750.– fest- zusetzen (Art. 1–3 des Reglements vom 21. Februar 2008 über die Kosten und Entschädigungen vor dem Bundesverwaltungsgericht [VGKE, SR 173.320.2]).</w:t>
      </w:r>
    </w:p>
    <w:p>
      <w:r>
        <w:t>(Dispositiv nächste Seite)</w:t>
      </w:r>
    </w:p>
    <w:p>
      <w:r>
        <w:t>D-385/2024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