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D-3859/2015 vom 9. September 2015</w:t>
      </w:r>
    </w:p>
    <w:p>
      <w:r>
        <w:t>Bundesverwaltungsgericht, 2015-09-09, DE</w:t>
      </w:r>
    </w:p>
    <w:p>
      <w:r>
        <w:rPr>
          <w:b/>
        </w:rPr>
        <w:t xml:space="preserve">Quelle: </w:t>
      </w:r>
      <w:r>
        <w:t>https://mcp.opencaselaw.ch/entscheid/bvger_D-3859_2015</w:t>
      </w:r>
    </w:p>
    <w:p>
      <w:r>
        <w:t>FR: TAF D-3859/2015 du 9 septembre 2015</w:t>
      </w:r>
    </w:p>
    <w:p>
      <w:r>
        <w:t>IT: TAF D-3859/2015 del 9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ihres ablehnenden Asylentscheides im Wesentlichen vor, bei der Befürchtung, durch die Familie der Beschwerdeführerin einer Blutrache ausgesetzt zu werden, handle es sich um eine Verfolgung durch private Dritte. Die Beschwerdeführenden hätten nicht geltend gemacht, die türkischen Sicherheitskräfte hätten ihnen diesbezüglich den Schutz verweigert, sondern vielmehr angegeben, auf eine Anzeige bei der Polizei verzichtet zu haben. Die türkischen Behörden seien inzwischen für Gewalt gegen Frauen sensibilisiert und versuchten, betroffenen Frauen, soweit dies überhaupt möglich sei, Schutz zu geben. Es könne davon ausgegangen werden, dass die gesetzlichen Vorgaben zum Schutz der Frau heutzutage auch in der Rechtswirklichkeit tatsächlich beachtet und umgesetzt würden. Zudem existierten zahlreiche Frauenhäuser und daneben würden sich auch verschiedene Nichtregierungsorganisationen um eine Verbesserung der Stellung der Frau und um Schutz an Opfer familiärer Gewalt bemühen und dabei gut mit den staatlichen Stellen und den Polizeibehörden zusammenarbeiten. Es sei daher den Beschwerdeführenden zumutbar, sich unter diesen Voraussetzungen an die türkischen Sicherheitskräfte zu wenden und diese wegen der Drohungen um Schutz zu ersuchen. Das Vorbringen sei daher nicht asylrelevant. Ferner stelle die Einberufung in den Militärdienst eine staatsbürgerliche Pflicht dar und deren Durchsetzung sei daher rechtsstaatlich legitim. Zudem spiele die ethnische oder religiöse Herkunft bei der - ohnehin milden - Bestrafung von Refraktären oder Deserteuren in der Türkei keine Rolle. Weiter sei bekannt, dass Aleviten in der Türkei verschiedensten Diskriminierungen ausgesetzt würden. Dabei handle es sich aber nicht um asylrelevante Nachteile, weshalb die allgemeine Situation, in der sich die alevitische Bevölkerung befinde, gemäss gefestigter Praxis für sich allein nicht zur Anerkennung der Flüchtlingseigenschaft führe. Auch die vorliegenden Vorbringen würden in ihrer Intensität nicht über die Nachteile hinausgehen, welche weite Teile der alevitischen Bevölkerung in der Türkei in ähnlicher Weise treffen könnten. Zum Vorbringen des Beschwerdeführers, wonach er aus einer politisch vorbelasteten Familie stamme, was zu ständigen Schikanen und Drohungen durch Angehörige der Sicherheitskräfte geführt habe, sei festzuhalten, dass keine Hinweise aktenkundig seien, welche erwarten lassen würden, dass er wegen seines familiären Umfeldes mit beachtlicher Wahrscheinlichkeit und in absehbarer Zukunft von Reflexverfolgungsmassnahmen ernsthaften Ausmasses betroffen werden könnte. Die geltend gemachten Schwierigkeiten wegen seiner Brüder hätten kein asylrelevantes Ausmass erreicht. Zudem handle es sich bei den geschilderten Nachteilen um ein höchstens lokal bestehendes Phänomen, dem er sich durch einen Umzug in eine andere Region der Türkei leicht entziehen könne. Die Vorbringen der Beschwerdeführenden hielten insgesamt den Anforderungen an die Flüchtlingseigenschaft gemäss Art. 3 AsylG nicht stand. Es könne deshalb darauf verzichtet werden, ihre Aussagen näher auf ihre Glaubhaftigkeit zu überprüfen, wobei eine spätere Geltendmachung ausdrücklich vorbehalten bleibe.</w:t>
      </w:r>
    </w:p>
    <w:p>
      <w:r>
        <w:rPr>
          <w:b/>
        </w:rPr>
        <w:t>E. 3.2</w:t>
      </w:r>
    </w:p>
    <w:p>
      <w:r>
        <w:t>In ihren Eingaben auf Beschwerdeebene wenden die Beschwerdeführenden im Wesentlichen ein, es sei gegen den Beschwerdeführer in der Türkei ein Verfahren betreffend Mitgliedschaft bei einer Terrororganisation eingeleitet worden. Mittlerweile sei sogar ein weiterer Prozess hängig. Er werde in der Türkei polizeilich gesucht, weshalb eine Rückkehr nicht in Frage komme. 4.1 Das Bundesverwaltungsgericht gelangt nach Prüfung der Akten zum Schluss, dass das SEM im Rahmen der Prüfung der Asylvorbringen auf-grund der dargelegten einzelnen Aspekte zu Recht erkannt hat, die Beschwerdeführenden erfüllten die Voraussetzungen der Flüchtlingseigenschaft gemäss Art. 3 AsylG nicht. 4.2 Die Ausführungen in der Rechtsmitteleingabe sowie in den weiteren Eingaben und die eingereichten Beweismittel vermögen die vorinstanzlichen Schlussfolgerungen im angefochtenen Entscheid nicht umzustossen. So bringen die Beschwerdeführenden darin keinerlei Entgegnungen zu den Erwägungen des SEM vor, sondern machen vielmehr neue Sachverhaltselemente geltend. Da sich das Bundesverwaltungsgericht vorliegend der vorinstanzlichen Argumentation im Asylentscheid vom 28. Mai 2015 vollumfänglich anschliesst, kann angesichts des Verzichts der Beschwerdeführenden, diesbezüglich Einwände anzubringen, und zur Vermeidung von Wiederholungen auf die Erwägungen im angefochtenen Entscheid verwiesen werden. Hinsichtlich der auf Beschwerdeebene neu geltend gemachten behördlichen Verfolgung des Beschwerdeführers ist zunächst festzustellen, dass gemäss dem eingereichten Schreiben (Nennung Beweismittel) seine Einvernahme verlangt worden sei. Dies im Zusammenhang mit einer in der (Nennung Zeitung) vom (...) erschienenen Kolumne, die als Propaganda für eine terroristische Organisation gewertet werde. Diesbezüglich habe das (Nennung Behörde) Nachforschungen über den Aufenthaltsort des Beschwerdeführers durchgeführt, welche ergebnislos geblieben seien. Das Schreiben des (Nennung Behörde) endet mit der Feststellung, dass der Beschwerdeführer im Rahmen der durch die Staatsanwaltschaft angeordneten Untersuchung nicht habe einvernommen werden können. Diesbezüglich ist anzumerken, dass im erwähnten Schreiben der Verfasser dieser Kolumne nicht explizit bezeichnet wird. Sodann hat der Beschwerdeführer im Rahmen des vorinstanzlichen Verfahrens nie angeführt, er hätte ein solches Schreiben verfasst oder sich politisch in irgendeiner Weise betätigt, weshalb der nun im erwähnten Schreiben erhobene Vorwurf befremdlich erscheint. Zudem stimmen die im Schreiben aufgeführten Adressangaben, so insbesondere die Haus- und die Wohnungsnummer, nicht mit den Angaben des Beschwerdeführers im Rahmen der BzP überein (vgl. act. A4/12 S. 4). Gemäss seinen Ausführungen anlässlich der BzP handle es sich bei der von ihm angegebenen Adresse um die offizielle Adresse seiner Familie, wo er angemeldet gewesen sei, weshalb die Abweichungen umso erstaunlicher erscheinen. Doch ungeachtet dieser Diskrepanzen könnte auch bei Wahrunterstellung des im Schreiben des (Nennung Behörde) enthaltenen Vorwurfs nicht von einer asylrelevanten Verfolgung des Beschwerdeführers ausgegangen werden. So wurde darin lediglich dessen Einvernahme angeordnet, was im Rahmen der Abklärung des Tatvorwurfs als rechtsstaatlich legitime Handlung der Ermittlungsbehörden zu qualifizieren ist. Aus dem Schreiben wird zudem nicht ersichtlich, in welcher Funktion der Beschwerdeführer einvernommen werden soll respektive hätte werden sollen (ob als Beschuldigter, Zeuge oder Auskunftsperson), und im heutigen Zeitpunkt besteht folgerichtig auch noch gar keine Klarheit, ob der Beschwerdeführer diesbezüglich überhaupt eine Anklage oder allenfalls später eine Verurteilung zu gewärtigen hat oder nicht. Der Beschwerdeführer bringt schliesslich vor, sein türkischer Rechtsvertreter habe darauf hingewiesen, dass ein weiterer Prozess gegen ihn in die Wege geleitet worden sei und er werde weitere Akten nach Erhalt möglichst rasch einreichen. Angesichts obiger Ausführungen zu den bislang eingereichten Beweismitteln und des dürftigen, nicht näher konkretisierten Hinweises auf das Bestehen eines weiteren Verfahrens braucht die Einreichung von solchen unbestimmt gebliebenen Akten nicht abgewartet zu werden, zumal diese zu keiner anderen Erkenntnis führen würden (antizipierte Beweiswürdigung; vgl. BVGE 2008/24 E. 7.2). 4.3 Zusammenfassend ist festzustellen, dass die Beschwerdeführenden unter Berücksichtigung der gesamten Aktenlage somit die Voraussetzungen zur Zuerkennung der Flüchtlingseigenschaft nicht erfüllen, weshalb das SEM ihre Asylgesuche zu Recht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2013/37 E. 4.4; BVGE 2011/24 E. 10.1; BVGE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6.3.2 Vorliegend ist der Vollzug der Wegweisung für die Beschwerdeführenden als zumutbar zu erachten, weil keine Hinweise dafür erkennbar sind, sie wären bei einer Rückkehr in die Türkei einer konkreten Gefährdung im genannten Sinne ausgesetzt. 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 ausser in den Provinzen Hakkari und Sirnak - nicht generell als unzumutbar zu bezeichnen (vgl. BVGE 2013/2). Überdies lässt sich eine andere Einschätzung mit Bezug auf den Herkunftsort respektive die Herkunftsprovinz der Beschwerdeführenden (D._______) und des letzten Wohnortes des Beschwerdeführers (H._______) nicht zureichend abstützen. Der Beschwerdeführer verfügt über eine neunjährige Schulbildung, gute Kenntnisse der türkischen Sprache und diverse Berufserfahrungen (vgl. act. A4/12 S. 4). Die Beschwerdeführerin ihrerseits verfügt über eine elfjährige Schulbildung, ein zweijähriges Studium als (...) und eine mehrjährige Berufserfahrung in (...) (vgl. act. A3/12 S. 4). Diese Kenntnisse werden ihnen beim Wiederaufbau einer Existenz in ihrem Heimatland zugutekommen. Den Beschwerdeführenden ist es unbenommen, sich durch geeignete Verlegung des Wohnsitzes allfälligen Repressalien seitens der Familie der Beschwerdeführerin zu entgehen. Insbesondere war der Beschwerdeführer bereits einige Jahre in H._______ erwerbstätig, wo es ihm eigenen Angaben zufolge problemlos möglich sei, wieder eine Arbeit aufzunehmen (vgl. act. A15/26 S. 4). Sodann hat die Vorinstanz zu Recht erwogen, dass die Familie des Beschwerdeführers nichts gegen eine Heirat mit der Beschwerdeführerin einzuwenden hatte (vgl. act. A4/12 S. 8), weshalb die Beschwerdeführenden von dieser Seite Unterstützung bei ihrer Reintegration erhalten dürften. Zur Überbrückung allfälliger Anfangsschwierigkeiten könnten die Beschwerdeführenden beim SEM Rückkehrhilfe beantragen. Insbesondere genügen blosse soziale und wirtschaftliche Schwierigkeiten, von denen die ansässige Bevölkerung im Allgemeinen betroffen ist, nicht, um eine konkrete Gefährdung im Sinne von Art. 83 Abs. 4 AuG darzustellen (vgl. BVGE 2010/41 E. 8.3.6 S. 591). Es ist somit nicht anzunehmen, dass die Beschwerdeführenden unter diesen Umständen bei einer Rückkehr in ihren Heimatstaat in eine existenzielle Notlage geraten würden. 6.3.3 Nach dem Gesagten kann der Vollzug der Wegweisung in genereller und individueller Hinsicht als zumutbar bezeichnet werden.</w:t>
      </w:r>
    </w:p>
    <w:p>
      <w:r>
        <w:rPr>
          <w:b/>
        </w:rPr>
        <w:t>E. 6.4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