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D-3859/2011 vom 10. September 2012</w:t>
      </w:r>
    </w:p>
    <w:p>
      <w:r>
        <w:t>Bundesverwaltungsgericht, 2012-09-10, DE</w:t>
      </w:r>
    </w:p>
    <w:p>
      <w:r>
        <w:rPr>
          <w:b/>
        </w:rPr>
        <w:t xml:space="preserve">Quelle: </w:t>
      </w:r>
      <w:r>
        <w:t>https://mcp.opencaselaw.ch/entscheid/bvger_D-3859_2011</w:t>
      </w:r>
    </w:p>
    <w:p>
      <w:r>
        <w:t>FR: TAF D-3859/2011 du 10 septembre 2012</w:t>
      </w:r>
    </w:p>
    <w:p>
      <w:r>
        <w:t>IT: TAF D-3859/2011 del 10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Nachdem der erhobene Kostenvorschuss fristgerecht eingezahlt wurde,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eine unzureichende Sachverhaltsaufnahme durch die Vorinstanz gerügt, indem diese ausgeführt habe, der Beschwerdeführer sei wiederholt vom Jaffna-Distrikt nach Colombo geflogen; (auch) daraus habe sie die falsche Folgerung gezogen, dass gegen ihn staatlicherseits kein ernsthafter Verdacht wegen Unterstützung der LTTE bestehe. Entgegen den Ausführungen des BFM sei er im Jahr (...) nicht "wiederholt" vom Distrikt Jaffna nach Colombo und wieder zurückgereist, sondern nach der Kontrolle im Elternhaus am (...) zu einem Verwandten nach F._______ geflüchtet, wo er festgenommen und befragt worden sei. Deswegen sei er nach (...) in den Norden (nach E._______) zurückgekehrt. Danach habe er nur noch die Flucht ins Ausland über den Südteil (...) angetreten. Diesen Flug habe er mit dem Rückfahrticket vom (...) unternehmen können. Zwar sei er zu früheren Zeiten in Colombo gewesen, aber - von den (...) erwähnten Reisen abgesehen - nicht im Jahr (...). Die Aussagen des Beschwerdeführers zu seinen Aufenthalten in Colombo und Umgebung sind etwas verwirrend ausgefallen. So gab er zu Protokoll, er sei vor seiner Ausreise mehrmals vom Norden des Landes nach Colombo gereist (...); im Jahr (...) sei er mit dem Flugzeug gereist (...); er habe im Norden eine Bewilligung beantragt, welche ihm ca. im (...) von (...) ausgestellt worden sei, wobei er zur Begründung angegeben habe, er wolle ins Ausland reisen (...); die Rückreise am (...)von Colombo in den Norden habe er auf dem Luftweg absolviert, da er über ein Retourbillet verfügt habe (...) beziehungsweise er habe damals in Colombo ein Retourbillet nach Jaffna gekauft, welches er dann für den Flug vom (...) von Jaffna nach Colombo verwendet habe (...). Daraus ergibt sich, dass der Beschwerdeführer insbesondere im Jahr (...) zweimal vom Distrikt Jaffna nach Colombo und einmal zurück geflogen ist. Mithin führte das BFM in der angefochtenen Verfügung in zutreffender Weise aus, er habe die erwähnte Flugreise im Jahr (...) wiederholt absolviert. Der in diesem Zusammenhang gestellte Antrag auf Rückweisung der Sache an die Vorinstanz zwecks ergänzender Feststellung des Sachverhalts und neuen Entscheids erweist sich nach dem Gesagten als unbegründet und wird deshalb abgelehnt. Zudem wird die daraus von der Vorinstanz abgeleitete Folgerung, wonach der Beschwerdeführer damals von den sri-lankischen Behörden nicht mehr ernsthaft verdächtigt worden sei, die LTTE aktiv zu unterstützen, durch seine Aussagen bekräftigt, wonach er zu Hause nur von (...) gesucht worden sei, diese ihm jedoch ca. im (...) auf seinen mit einer Auslandreise begründeten Antrag hin die für den Flug vom Distrikt Jaffna nach Colombo benötigte Bewilligung erteilt habe (...).</w:t>
      </w:r>
    </w:p>
    <w:p>
      <w:r>
        <w:rPr>
          <w:b/>
        </w:rPr>
        <w:t>E. 5.2</w:t>
      </w:r>
    </w:p>
    <w:p>
      <w:r>
        <w:t>Der Beschwerdeführer wendet weiter ein, mit den (...) für die LTTE ausgeführten Tätigkeiten habe er einen wesentlichen Beitrag für diese Organisation geleistet. Daneben habe er noch an zahlreichen Veranstaltungen der LTTE teilgenommen. Die Gefahr, dass er in diesem Zusammenhang ins Visier der sri-lankischen Sicherheitsbehörden kommen und von diesen auch festgenommen und in einem unfairen Verfahren abgeurteilt werden könnte, würde insbesondere dadurch verstärkt, dass wegen seiner Bekanntschaft mit (...) weitere Verdachtsmomente vorliegen würden (...). Diese Einwände erweisen sich als nicht stichhaltig. So gab der Beschwerdeführer zu Protokoll, die erwähnten Arbeiten für die LTTE seien während der Friedenszeiten von (...) durch den Laden (...) ausgeführt worden, wobei er selbst letztmals im Jahr (...) mitgeholfen und keine anderen Tätigkeiten für die LTTE ausgeführt habe; alle Ladenbesitzer hätten mitgemacht (...). Zudem ist ihm eigenen Angaben zufolge im Jahr (...) in Colombo ein Reisepass ausgestellt worden, welchen er legal erhalten hat (...). Schliesslich wurde er bereits am Tag nach seiner im Zusammenhang mit (...) in Colombo erfolgten Festnahme wieder freigelassen. Gemäss der diesbezüglich zu den Akten gereichten (...) wurde der Beschwerdeführer wegen terroristischer Aktivitäten verhaftet. Hätten indes die Behörden wegen dessen Tätigkeiten für die LTTE tatsächlich ein ernsthaftes Verfolgungsinteresse am Beschwerdeführer gehabt, so wäre dieser kaum nach so kurzer Zeit aus der Haft entlassen worden. Unter diesen Umständen teilt das Bundesverwaltungsgericht die Einschätzung der Vorinstanz, wonach der Beschwerdeführer angesichts seines geringen politischen Profils zum Zeitpunkt der Ausreise aus dem Heimatstaat nicht mehr ernsthaft verdächtigt wurde, die LTTE aktiv unterstützt zu haben, und nicht davon auszugehen ist, dass er mit erheblicher Wahrscheinlichkeit von asylrelevanten Schwierigkeiten bedroht ist.</w:t>
      </w:r>
    </w:p>
    <w:p>
      <w:r>
        <w:rPr>
          <w:b/>
        </w:rPr>
        <w:t>E. 5.3</w:t>
      </w:r>
    </w:p>
    <w:p>
      <w:r>
        <w:t>An dieser Einschätzung vermögen entgegen den Ausführungen in der Beschwerde die eingereichten Beweismittel nichts zu ändern. Da nach dem Gesagten keine erhebliche Wahrscheinlichkeit besteht, dass der Beschwerdeführer wegen seiner Aktivitäten für die LTTE eine asylrelevante Verfolgung zu gewärtigen hat, vermag er allein aus dem Umstand, dass (...) in der Folge verschwunden sei, nichts zu seinen Gunsten abzuleiten. In dem diesbezüglich zu den Akten gereichten (...) wird der Beschwerdeführer nicht erwähnt, sondern ausgeführt, dass (...) Personen (...) vermisst würden (...). Auch ist entgegen den Ausführungen der Beschwerde kein Zusammenhang zwischen der Kurzhaft vom (...) in F._______ und dem zusammen mit der Beschwerde eingereichten (...) sowie der (...) nach­gereichten diesbezüglichen (...) ersichtlich. So wurde vom Beschwerdeführer nie vorgebracht, er sei nach der Kurzhaft zu einem (...) vorgeladen worden. Der Grund für die Ausstellung des Haftbefehls (...) ist somit nicht nachvollziehbar. Dasselbe gilt für den Umstand, dass der Haftbefehl erst ca. (...) nach der Kurzhaft von dem für F._______ zuständigen G._______ ausgestellt und (...) in D._______ im Distrikt Jaffna beziehungsweise die (...) im (...) ausgehändigt wurde.</w:t>
      </w:r>
    </w:p>
    <w:p>
      <w:r>
        <w:rPr>
          <w:b/>
        </w:rPr>
        <w:t>E. 5.4</w:t>
      </w:r>
    </w:p>
    <w:p>
      <w:r>
        <w:t>Entgegen den Ausführungen in der Beschwerde kann nach einer weiteren Überprüfung der Akten keine Rede davon sein, das BFM habe aufgrund einer beschönigenden Einschätzung der Lage in Sri Lanka per se eine Verfolgungsgefahr für den Beschwerdeführer verneint.</w:t>
      </w:r>
    </w:p>
    <w:p>
      <w:r>
        <w:rPr>
          <w:b/>
        </w:rPr>
        <w:t>E. 5.4.1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Allerdings sind gewisse Gruppen von Leuten trotz dieser Verbesserung der allgemeinen Lage auch nach Kriegsende immer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5.4.2</w:t>
      </w:r>
    </w:p>
    <w:p>
      <w:r>
        <w:t>Wie oben (vgl. E. 5.1 - 5.3 vorstehend) aufgezeigt wurde, erweist sich die Furcht des Beschwerdeführers vor Verfolgung durch die sri-lankischen Behörden im Zusammenhang mit seinen Unterstützungstätigkeiten für die LTTE als nicht begründet, zumal er klarerweise nicht dem vorstehend aufgeführten Personenkreis zuzurechnen ist. Es bestehen daher insgesamt keine Anhaltspunkte dafür, dass der Beschwerdeführer im Falle seiner Rückkehr nach Sri Lanka zum jetzigen Zeitpunkt eine begründete Furcht vor asylbeachtlicher Verfolgung im Sinne von Art. 3 AsylG hat.</w:t>
      </w:r>
    </w:p>
    <w:p>
      <w:r>
        <w:rPr>
          <w:b/>
        </w:rPr>
        <w:t>E. 5.5</w:t>
      </w:r>
    </w:p>
    <w:p>
      <w:r>
        <w:t>Nach dem Gesagten erweisen sich die vom Beschwerdeführer geltend gemachten Verfolgungsvorbringen als asyl- beziehungsweise flüchtlingsrechtlich nicht relevant. Aufgrund der vorstehenden Erwägungen erübrigt es sich, auf die weiteren Ausführungen in der Beschwerde, dem Schreiben vom 25. Mai 2012 und die eingereichten Beweismittel näher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darzutun.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seinerzeit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Urteil BVGE 2011/23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2011/23 E. 13.2.1.2 und 13.3).</w:t>
      </w:r>
    </w:p>
    <w:p>
      <w:r>
        <w:rPr>
          <w:b/>
        </w:rPr>
        <w:t>E. 7.2.3</w:t>
      </w:r>
    </w:p>
    <w:p>
      <w:r>
        <w:t>Der Beschwerdeführer stammt aus D._______ (Distrikt Jaffna) in der Nordprovinz, wohin der Wegweisungsvollzug im Lichte der vorstehend aufgeführten neuen Rechtsprechung unter bestimmten Voraussetzungen zumutbar ist: Im Distrikt Jaffna, wo (...) und weitere Verwandte wohnhaft sind, verfügt er über ein familiäres Beziehungsnetz. Sodann war er dort nach der Schule (...) erwerbstätig. Zudem leidet der noch relativ junge Beschwerdeführer, soweit aktenkundig, an keinen gesundheitlichen Beeinträchtigungen. Demnach liegen keine Anhaltspunkte dafür vor, dass der Beschwerdeführer, der aufgrund der Akten darüber hinaus wohl auch im Grossraum Colombo über Beziehungen verfügen dürfte,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7.4</w:t>
      </w:r>
    </w:p>
    <w:p>
      <w:r>
        <w:t>Insgesamt ist die durch die Vorinstanz verfügte Wegweisung zu bestä­tigen. Das Bundesamt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auf Fr. 600.- festzusetzen (vgl. Art. 1 - 3 des Reglements vom 21. Februar 2008 über die Kosten und Entschädigungen vor dem Bundesverwaltungsgericht [VGKE, SR 173.320.2]) und dem Beschwerdeführer aufzuerlegen (Art. 63 Abs. 1 und 5 VwVG). Sie sind mit dem am 14. Juli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