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D-3857/2024 vom 1. Oktober 2024</w:t>
      </w:r>
    </w:p>
    <w:p>
      <w:r>
        <w:t>Bundesverwaltungsgericht, 2024-10-01, DE</w:t>
      </w:r>
    </w:p>
    <w:p>
      <w:r>
        <w:rPr>
          <w:b/>
        </w:rPr>
        <w:t xml:space="preserve">Quelle: </w:t>
      </w:r>
      <w:r>
        <w:t>https://mcp.opencaselaw.ch/entscheid/bvger_D-3857_2024</w:t>
      </w:r>
    </w:p>
    <w:p>
      <w:r>
        <w:t>FR: TAF D-3857/2024 du 1 octobre 2024</w:t>
      </w:r>
    </w:p>
    <w:p>
      <w:r>
        <w:t>IT: TAF D-3857/2024 del 1 ottobre 2024</w:t>
      </w:r>
    </w:p>
    <w:p>
      <w:pPr>
        <w:pStyle w:val="Heading2"/>
      </w:pPr>
      <w:r>
        <w:t>Regeste</w:t>
      </w:r>
    </w:p>
    <w:p>
      <w:r>
        <w:t>Rechtsverzögerung/Rechtsverweigerung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Angesichts der erwähnten Kompetenzzuteilung und gestützt auf Art. 46a VwVG ist das Bundesverwaltungsgericht ausserdem für die Beurteilung von Beschwerden zuständig, die dem SEM das unrechtmässige Verweigern oder Verzögern einer anfechtbaren Verfügung vorwerfen (vgl. auch Uhlmann/Wälle-Bär, in: Waldmann/Krauskopf [Hrsg.], Praxiskommentar VwVG, 3. Aufl., Zürich/Genf 2023, Art. 46a, N 12).</w:t>
      </w:r>
    </w:p>
    <w:p>
      <w:r>
        <w:rPr>
          <w:b/>
        </w:rPr>
        <w:t>E. 2.1</w:t>
      </w:r>
    </w:p>
    <w:p>
      <w:r>
        <w:t>Beschwerden wegen Rechtsverzögerung oder Rechtsverweigerung richten sich gegen den Nichterlass einer anfechtbaren Verfügung. Die Beschwerdelegitimation setzt voraus, dass bei der zuständigen Behörde zuvor ein Begehren um Erlass einer Verfügung gestellt wurde und ein Anspruch darauf besteht. Ein Anspruch ist anzunehmen, wenn die Behörde verpflichtet ist, in Verfügungsform zu handeln, und dem Rechtssuchenden nach Art. 6 i.V.m. Art. 48 Abs. 1 VwVG Parteistellung zukommt (vgl. BVGE 2008/15 E. 3.2 m.w.H.). Der Beschwerdeführer, der in der Schweiz um Asyl ersucht hat, ist zur Beschwerde legitimiert.</w:t>
      </w:r>
    </w:p>
    <w:p>
      <w:r>
        <w:rPr>
          <w:b/>
        </w:rPr>
        <w:t>E. 2.2</w:t>
      </w:r>
    </w:p>
    <w:p>
      <w:r>
        <w:t>Gegen das unrechtmässige Verzögern oder Verweigern einer Verfügung kann grundsätzlich jederzeit Beschwerde geführt werden (Art. 50 Abs. 2 VwVG). Dennoch steht der Zeitpunkt der Beschwerdeerhebung nicht völlig im Belieben einer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beziehungsweise der Feststellung einer entsprechenden Rechtsverzögerung hat (vgl. Moser/Beusch/Kneubühler, Prozessieren vor dem Bundesverwaltungsgericht, 3. Aufl., Basel 2022, Rz. 5.2). Der Zeitpunkt der Beschwerdeerhebung ist im vorliegenden Fall nicht zu beanstanden. Angesichts der Einreichung seines Asylgesuchs vermag der Beschwerdeführer auch ein schutzwürdiges Interesse geltend zu machen, und auf seine Beschwerde ist folglich einzutreten.</w:t>
      </w:r>
    </w:p>
    <w:p>
      <w:r>
        <w:rPr>
          <w:b/>
        </w:rPr>
        <w:t>E. 3.1</w:t>
      </w:r>
    </w:p>
    <w:p>
      <w:r>
        <w:t>Das Verbot der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 vgl. hierzu und zum Folgenden BGE 130 I 312 E. 5.1 und 5.2 m.w.H.).</w:t>
      </w:r>
    </w:p>
    <w:p>
      <w:r>
        <w:rPr>
          <w:b/>
        </w:rPr>
        <w:t>E. 3.2</w:t>
      </w:r>
    </w:p>
    <w:p>
      <w:r>
        <w:t>Von einer Rechtsverzögerung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Ebenfalls sind bei der Beurteilung der Angemessenheit der Verfahrensdauer spezialgesetzliche Behandlungsfristen zu berücksichtigen (vgl. zum Ganzen auch Urteil des BVGer E-1438/2018 vom 5. April 2018 E. 3.2 m.w.H.).</w:t>
      </w:r>
    </w:p>
    <w:p>
      <w:r>
        <w:rPr>
          <w:b/>
        </w:rPr>
        <w:t>E. 4</w:t>
      </w:r>
    </w:p>
    <w:p>
      <w:r>
        <w:t>Im vorliegenden Fall wird durch den Beschwerdeführer im Wesentlichen geltend gemacht, gemäss der gesetzlichen Behandlungsfrist für das erweiterte Asylverfahren habe das SEM seinen Entscheid innerhalb von zwei Monaten nach Abschluss der maximal dreiwöchigen Vorbereitungsphase zu treffen. Allerdings sei die Vorinstanz seit Einreichung seines Asylgesuchs am 1. Dezember 2022 und der Zuweisung in das erweiterte Verfahren am 19. Januar 2023 untätig geblieben. Alle seine Anfragen an das SEM bezüglich des Verfahrensstands, einschliesslich mehrerer Androhungen einer Rechtsverzögerungsbeschwerde, seien durch dieses ignoriert worden. Der Beschwerdeführer leide unter der sehr langen Verfahrensdauer, zumal er in seiner Abwesenheit Vater geworden sei und sein Kind noch nicht in die Arme habe schliessen können (vgl. Beschwerdeschrift, S. 3 ff.).</w:t>
      </w:r>
    </w:p>
    <w:p>
      <w:r>
        <w:rPr>
          <w:b/>
        </w:rPr>
        <w:t>E. 5.1</w:t>
      </w:r>
    </w:p>
    <w:p>
      <w:r>
        <w:t>Das Bundesverwaltungsgericht hat Kenntnis davon, dass die Vorinstanz angesichts der zurzeit hohen Zahl an Asylsuchenden und Schutzsuchenden aus der Ukraine mit vielen Verfahren belastet ist. Es ist unvermeidbar und auch nachvollziehbar, dass gewisse Verfahren nicht innerhalb der Behandlungsfristen von Art. 37 AsylG abgeschlossen werden können, insbesondere dann, wenn sich noch Abklärungsmassnahmen aufdrängen.</w:t>
      </w:r>
    </w:p>
    <w:p>
      <w:r>
        <w:rPr>
          <w:b/>
        </w:rPr>
        <w:t>E. 5.2</w:t>
      </w:r>
    </w:p>
    <w:p>
      <w:r>
        <w:t>Für den vorliegenden Fall ist festzuhalten, dass das SEM seit der Zuteilung des Beschwerdeführers in das erweiterte Verfahren und der Zuweisung an den Kanton B._______ am 19. Januar 2023 seit über eineinhalb Jahren keine weiteren Verfahrensschritte unternommen hat. Auch die Gesuche um Herausgabe des Führerscheins und die gerichtliche Einladung zur Stellungnahme mittels Zwischenverfügung vom 2. Juli 2024 blieben bis zum heutigen Zeitpunkt unbeantwortet. Festzustellen ist ferner, dass die vom Beschwerdeführer eingereichten Beweismittel nicht erst kürzlich ins Recht gelegt wurden, sondern bereits seit dem 12. Januar 2023 vorliegen (vgl. SEM-ID 001/4-20/8). Des Weiteren ersuchte der Beschwerdeführer zwischen dem 3. August 2023 und dem 23. April 2024 insgesamt dreimal um Auskunft zum Stand des Verfahrens, wobei keine dieser Anfragen beantwortet wurde (vgl. SEM-Akten 26/1, 27/2 und 29/1). Es sind keinerlei konkrete Schritte aktenkundig, die darauf schliessen liessen, das SEM sei tatsächlich mit der Behandlung des Asylgesuches befasst. Ein solches Vorgehen ist weder mit den rechtlichen Ansprüchen des Beschwerdeführers (vgl. Art. 29 Abs. 1 BV; hierzu zuvor E. 3.1 f.) noch mit den spezialgesetzlichen Vorgaben bezüglich der Behandlungsfristen (vgl. Art. 37 AsylG) vereinbar.</w:t>
      </w:r>
    </w:p>
    <w:p>
      <w:r>
        <w:rPr>
          <w:b/>
        </w:rPr>
        <w:t>E. 5.3</w:t>
      </w:r>
    </w:p>
    <w:p>
      <w:r>
        <w:t>Angesichts der vorliegenden Umstände und der anhaltenden Untätigkeit des SEM ist in einer Gesamtbetrachtung festzustellen, dass die Dauer des Asylverfahrens des Beschwerdeführers als unangemessen lang zu erachten ist. Die vom Beschwerdeführer vorgebrachte Rüge, dem SEM sei bei der Behandlung seines Asylgesuchs eine Rechtsverzögerung vorzuwerfen, ist daher als gerechtfertigt zu erachten.</w:t>
      </w:r>
    </w:p>
    <w:p>
      <w:r>
        <w:rPr>
          <w:b/>
        </w:rPr>
        <w:t>E. 5.4</w:t>
      </w:r>
    </w:p>
    <w:p>
      <w:r>
        <w:t>Folglich ist die Beschwerde gutzuheissen. Das SEM ist zudem anzuweisen, das Asylgesuch des Beschwerdeführers ohne weitere Verzögerung umgehend zu behandeln und das betreffende Verfahren zum Abschluss zu bringen.</w:t>
      </w:r>
    </w:p>
    <w:p>
      <w:r>
        <w:rPr>
          <w:b/>
        </w:rPr>
        <w:t>E. 6.1</w:t>
      </w:r>
    </w:p>
    <w:p>
      <w:r>
        <w:t>Bei diesem Ausgang des Verfahrens sind keine Kosten zu erheben (Art. 63 Abs. 1 und 2 VwVG i.V.m. Art. 37 VGG). 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In der eingereichten Kostennote werden ein zeitlicher Aufwand von zweieinhalb Stunden à Fr. 300.- und Spesen von Fr. 43.- geltend gemacht. Dieser Aufwand erscheint angemessen. Gestützt auf die in Betracht zu ziehenden Bemessungsfaktoren (Art. 9-13 VGKE) ist dem Beschwerdeführer zulasten der Vorinstanz eine Parteientschädigung von insgesamt Fr. 793.-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