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D-3856/2011 vom 22. Juli 2011</w:t>
      </w:r>
    </w:p>
    <w:p>
      <w:r>
        <w:t>Bundesverwaltungsgericht, 2011-07-22, DE</w:t>
      </w:r>
    </w:p>
    <w:p>
      <w:r>
        <w:rPr>
          <w:b/>
        </w:rPr>
        <w:t xml:space="preserve">Quelle: </w:t>
      </w:r>
      <w:r>
        <w:t>https://mcp.opencaselaw.ch/entscheid/bvger_D-3856_2011</w:t>
      </w:r>
    </w:p>
    <w:p>
      <w:r>
        <w:t>FR: TAF D-3856/2011 du 22 juillet 2011</w:t>
      </w:r>
    </w:p>
    <w:p>
      <w:r>
        <w:t>IT: TAF D-3856/2011 del 22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Im vorinstanzlichen Aktendossier sind weder Angaben dazu enthalten, wann die Verfügung des BFM dem Beschwerdeführer zuging, noch liegt eine Empfangsbestätigung vor. Der genaue Zeitpunkt der Eröffnung der angefochtenen Verfügung steht somit nicht fest. Indessen trägt die Beweislast für die erfolgte Zustellung und deren Zeitpunkt die Behörde, welche die Zustellung veranlasst hat (vgl. Felix Uhlmann/Alexandra Schwank, in: Bernhard Waldmann/Philippe Weissenberger [Hrsg.], Praxiskommentar VwVG, Zürich/Basel/Genf 2009, Art. 34, N 10). Unter der Voraussetzung, dass die vom 16. Mai 2011 datierende Verfügung dem Beschwerdeführer erst nach dem 24. Mai 2011 eröffnet wurde - was unter den gegebenen Umständen eines Asylverfahrens im Ausland plausibel erscheint -, ist die 30-tägige Beschwerdefrist eingehalten. Ein früheres Eröffnungsdatum ist nach Aktenlage nicht nachgewiesen. Somit ist im vorliegenden Fall davon auszugehen, dass die Beschwerde innert der gesetzlichen Frist (Art. 108 Abs. 1 AsylG) erhoben worden ist.</w:t>
      </w:r>
    </w:p>
    <w:p>
      <w:r>
        <w:rPr>
          <w:b/>
        </w:rPr>
        <w:t>E. 2.2</w:t>
      </w:r>
    </w:p>
    <w:p>
      <w:r>
        <w:t>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2.3</w:t>
      </w:r>
    </w:p>
    <w:p>
      <w:r>
        <w:t>Die Beschwerde ist somit als frist- und formgerecht eingereicht zu erachten; der Beschwerdeführer ist legitimiert (Art. 108 Abs. 1 AsylG; Art. 105 AsylG i.V.m. Art. 37 VGG sowie Art. 48 Abs. 1 und Art. 52 VwVG). Auf die Beschwerde ist folglich einzutreten.</w:t>
      </w:r>
    </w:p>
    <w:p>
      <w:r>
        <w:rPr>
          <w:b/>
        </w:rPr>
        <w:t>E. 3</w:t>
      </w:r>
    </w:p>
    <w:p>
      <w:r>
        <w:t>Gestützt auf Art. 111a Abs. 1 AsylG wird auf die Durchführung des Schrif­tenwechsels verzichtet.</w:t>
      </w:r>
    </w:p>
    <w:p>
      <w:r>
        <w:rPr>
          <w:b/>
        </w:rPr>
        <w:t>E. 4.1</w:t>
      </w:r>
    </w:p>
    <w:p>
      <w:r>
        <w:t>Gemäss Art. 19 Abs. 1 AsylG kann ein Asylgesuch im Ausland bei ei­ner schweizerischen Vertretung gestellt werden, welche es mit einem Be­richt an das Bundesamt überweist (Art. 20 Abs. 1 AsylG).</w:t>
      </w:r>
    </w:p>
    <w:p>
      <w:r>
        <w:rPr>
          <w:b/>
        </w:rPr>
        <w:t>E. 4.2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4.4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Der Beschwerdeführer machte im Rahmen seiner Eingaben an die schweizerische Botschaft in Khartum im Wesentlichen Folgendes geltend: Im Juni 1996 sei er durch das eritreische Regime zum Militärdienst eingezogen worden. In der Folge habe er gegen seinen Willen während rund dreizehn Jahren in unterschiedlichen Einheiten und Funktionen der eritreischen Armee Dienst geleistet. Seine Gesuche, aus dem Militärdienst entlassen zu werden, seien allesamt erfolglos geblieben. Lediglich alle zwei Jahre habe er die Erlaubnis erhalten, seine Familie zu besuchen. Da er sich dagegen gewehrt habe, dass Minderjährige zum Militärdienst eingezogen worden seien, sei er mehrfach inhaftiert worden. Aus Verzweiflung über seine endlose Dienstpflicht und seine schlechte Behandlung durch die Armee sei er schliesslich am 21. Oktober 2009 desertiert und in den Sudan geflohen. Im Sudan sei er zwar durch das UNHCR als Flüchtling registriert worden. Er könne dort jedoch nicht bleiben, da er fürchte, durch eritreische Spione entführt und nach Eritrea zurückgeschafft zu werden. Zu dieser Befürchtung trage bei, dass er im Flüchtlingslager einem Journalisten von den Menschenrechtsverletzungen in Eritrea berichtet habe. Zudem werde er im Sudan durch die Polizei und Private diskriminiert und belästigt; so sei er im Mai 2010 in Khartum grundlos während dreier Tage inhaftiert und erst nach Zahlung einer Geldsumme wieder freigelassen worden. Die Sicherheitslage habe sich ausserdem aufgrund der Sezession des Südsudan vom Staat Sudan verschlechtert.</w:t>
      </w:r>
    </w:p>
    <w:p>
      <w:r>
        <w:rPr>
          <w:b/>
        </w:rPr>
        <w:t>E. 5.2</w:t>
      </w:r>
    </w:p>
    <w:p>
      <w:r>
        <w:t>Das BFM begründete die Verweigerung der Ein­reise in die Schweiz und die Ablehnung des Asylge­suchs im Wesentlichen folgendermassen: Zwar sei aufgrund der gemachten schriftlichen Eingaben darauf zu schliessen, dass die Schwierigkeiten des Beschwerdeführers mit den eritreischen Behörden asylrechtlich relevant seien. Indessen befinde sich der Beschwerdeführer im Sudan, wo er durch das UNHCR als Flüchtling registriert worden sei. Angesichts der Anwesenheit von - im Jahr 2009 - mehr als 160'000 eritreischen Flüchtlingen im Sudan sei dabei die Lage vor Ort nicht als einfach zu bezeichnen. Es bestünden jedoch keine konkreten Anhaltspunkte für die Annahme, dass ein weiterer Verbleib des Beschwerdeführers im Sudan nicht zumutbar wäre. Die Gefahr, durch eritreische Agenten nach Eritrea verschleppt zu werden, sei als sehr gering zu bezeichnen, zumal der Beschwerdeführer kein auffälliges persönliches Profil aufweise. Das Vorbringen, dass er im Flüchtlingslager einem Journalisten Auskünfte gegeben habe, vermöge daran nichts zu ändern. Bezüglich der geltend gemachten Schwierigkeiten mit den sudanesischen Behörden sei festzuhalten, dass Flüchtlinge im Sudan nicht über ein freies Aufenthaltsrecht im gesamten Land verfügen würden. Vielmehr seien vom UNHCR registrierte Flüchtlinge einem bestimmten Flüchtlingslager zugeteilt. Es sei dem Beschwerdeführer zuzumuten, an diesen Ort zurückzukehren, wenn er in Khartum mit den Behörden Schwierigkeiten habe.</w:t>
      </w:r>
    </w:p>
    <w:p>
      <w:r>
        <w:rPr>
          <w:b/>
        </w:rPr>
        <w:t>E. 5.3</w:t>
      </w:r>
    </w:p>
    <w:p>
      <w:r>
        <w:t>In Übereinstimmung mit der Vorinstanz ist zunächst festzustellen, dass angesichts der geltend gemachten Desertion aus der eritreischen Armee - die als solche nicht unglaubhaft erscheint - nicht auszuschliessen ist, dass der Beschwerdeführer bei einer Rückkehr nach Eritrea einer asylrelevanten Gefährdung ausgesetzt sein könnte. Jedoch befindet sich der Beschwerdeführer heute im Sudan, was hinsichtlich der bei einem im Ausland gestellten Asylgesuch weiter zu prüfenden Frage, ob dem Beschwerdeführer die Aufnahme in einem Drittstaat zugemutet werden kann, zu berücksichtigen ist. Im Sudan ist er gemäss seinen eigenen Angaben, die mittels Einreichung einer Kopie eines entsprechenden Ausweisdokuments belegt sind, seit Oktober 2009 durch das UNHCR als Flüchtling registriert und verfügt als solcher über eine temporäre Aufenthaltsbewilligung. Dabei machte er zwar verschiedene Bedrohungen geltend, so die Gefahr einer Entführung nach Eritrea durch eritreische Agenten, eine Diskriminierung durch sudanesische Behörden und Privatpersonen sowie eine Verschlechterung der Sicherheitslage aufgrund der Sezession des Südsudan. Diese Vorbringen sind jedoch nicht derart, dass es als für den Beschwerdeführer objektiv unzumutbar erscheint, den im Sudan gegenüber der Verfolgungsgefahr in seinem Heimatstaat bestehenden Schutz weiterhin in Anspruch zu nehmen. Diesbezüglich ist im Einzelnen auf die Ausführungen der Vorinstanz zu verweisen, die im Wesentlichen als zutreffend zu erachten sind. Ergänzend ist festzuhalten, dass der Beschwerdeführer gemäss seinen Ausführungen gegenüber der Vorinstanz mit anderen Flüchtlingen aus Eritrea - unter ihnen seine Ehefrau - in einem gemieteten Haus lebt und zumindest gelegentlich als Hausangestellter arbeitet. Insofern ist es dem Beschwerdeführer offensichtlich möglich, sich im Sudan auch ausserhalb des ihm zugewiesenen Flüchtlingslagers eine Unterkunft und ein Einkommen zu verschaffen, wobei er auch auf die Unterstützung seiner Ehefrau und der mit ihm zusammenlebenden Landsleute wird zählen können. Eine Schutzgewährung durch die Schweiz aufgrund einer entsprechenden Schutzbedürftigkeit erscheint somit gestützt auf Art. 52 Abs. 2 AsylG unter Berücksichtigung aller wesentlichen Umstände, welche mit dem Aufenthalt des Beschwerdeführers im Sudan und seinem dortigen Status als vom UNHCR registrierter Flüchtling verbunden sind, nicht als erforderlich.</w:t>
      </w:r>
    </w:p>
    <w:p>
      <w:r>
        <w:rPr>
          <w:b/>
        </w:rPr>
        <w:t>E. 5.4</w:t>
      </w:r>
    </w:p>
    <w:p>
      <w:r>
        <w:t>Zusammenfassend ergibt sich, dass das BFM zutreffend festgestellt hat, der Beschwerdeführer sei nicht schutzbe­dürftig im Sinne des AsylG. Unter diesen Umständen hat das Bundesamt zu Recht die Erteilung der Einreisebewilligung verweigert und das Asylgesuch abgelehnt.</w:t>
      </w:r>
    </w:p>
    <w:p>
      <w:r>
        <w:rPr>
          <w:b/>
        </w:rPr>
        <w:t>E. 6</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7</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