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D-3855/2009 vom 25. November 2010</w:t>
      </w:r>
    </w:p>
    <w:p>
      <w:r>
        <w:t>Bundesverwaltungsgericht, 2010-11-25, DE</w:t>
      </w:r>
    </w:p>
    <w:p>
      <w:r>
        <w:rPr>
          <w:b/>
        </w:rPr>
        <w:t xml:space="preserve">Quelle: </w:t>
      </w:r>
      <w:r>
        <w:t>https://mcp.opencaselaw.ch/entscheid/bvger_D-3855_2009</w:t>
      </w:r>
    </w:p>
    <w:p>
      <w:r>
        <w:t>FR: TAF D-3855/2009 du 25 novembre 2010</w:t>
      </w:r>
    </w:p>
    <w:p>
      <w:r>
        <w:t>IT: TAF D-3855/2009 del 25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sowie Art. 105 und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mit der Beschwerde gestellte Antrag auf Rückweisung der Sache an die Vorinstanz wurde in der Folge nicht begründet. Aus den Akten ergeben sich denn auch keine Hinweise, dass der rechtserhebliche Sachverhalt nicht genügend erstellt wurde, zumal das BFM, wie im Urteil des Bundesverwaltungsgerichts vom 17. September 2008 gefordert, die Aufenthaltsalternative in Serbien nunmehr als Aufenthaltsalternative in einem Drittstaat prüfte. Auch berücksichtigte es den Gesundheitszustand des Beschwerdeführers. In den vom BFM eingeforderten Arztberichten vom 15. Dezember 2008 konnte eine Herzrhythmusstörung ausgeschlossen werden und es wurde keine Therapienotwendigkeit attestiert. Das BFM durfte in seiner Verfügung vom 13. Mai 2009 demnach ohne Weiteres davon ausgehen, der Beschwerdeführer sei gesund. Auf den auf Beschwerdeebene eingereichten Arztbericht vom 22. Mai 2009 wird nachfolgend eingegangen. Der Antrag auf Rückweisung der Sache an die Vorinstanz wird demnach abgewiesen.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abweisenden Verfügung führte das BFM im Wesentlichen aus, obwohl es in Kosovo in den vergangen Jahren vereinzelt zu schweren Übergriffen auf Angehörige von Minderheiten, namentlich der Serben, gekommen sei, könne nicht von allgemeinen Vertreibungen ausgegangen werden. Am 17. Februar 2008 habe Kosovo die Unabhängigkeit erklärt. Gemäss der neuen kosovarischen Verfassung - die am 15. Juni 2008 in Kraft getreten sei - sei auch nach dem Statuswechsel eine internationale zivile und militärische Präsenz vorgesehen. In Kosovo würden mit der UNO-Verwaltung (United Nations Interim Administration Mission in Kosovo, UNMIK) und der EU-Mission (European Union Rule of Law Mission in Kosovo, EULEX) zwei internationale Missionen bestehen. Die am 9. Dezember 2008 offiziell gestartete EULEX sei formal den Vereinten Nationen unterstellt und werde unter deren Oberhoheit und innerhalb eines statusneutralen Rahmens geführt. Die EULEX-Mission umfasse Polizisten, Richter, Staatsanwälte und Strafvollzugsbeamte. Die internationalen Sicherheitskräfte sowie der Kosovo Police Service (KPS) würden die Sicherheit garantieren und seien weitgehend in der Lage, die ethnischen Minderheiten in Kosovo zu schützen. Bei Übergriffen hätten die Sicherheitskräfte regelmässig interveniert und bei Straftaten gegen Angehörige von Minderheiten würden Ermittlungen aufgenommen. Zentrale Polizeifunktionen würden weiterhin von internationalen Polizeikräften wahrgenommen. Die neue kosovarische Verfassung gestehe den Minderheiten umfassende Rechte zu. Da demnach vom Vorhandensein eines adäquaten Schutzes durch den Heimatstaat auszugehen sei, seien die geltend gemachten Übergriffe im vorliegenden Fall nicht asylrelevant. Für Serben und serbischsprachige Roma aus den südlichen Bezirken bestehe zudem eine innerstaatliche Fluchtalternative im Norden Kosovos, weshalb sich eine weitergehende Auseinandersetzung mit der Frage, ob diese in Kosovo einer asylrechtlich relevanten Gefährdung ausgesetzt seien, erübrige.</w:t>
      </w:r>
    </w:p>
    <w:p>
      <w:r>
        <w:rPr>
          <w:b/>
        </w:rPr>
        <w:t>E. 5.2</w:t>
      </w:r>
    </w:p>
    <w:p>
      <w:r>
        <w:t>In seiner Rechtsmitteleingabe hielt der Beschwerdeführer den Ausführungen des BFM entgegen, die Polizei und Justiz in Kosovo funktionierten nur sehr mangelhaft und die Situation sei eher schwieriger geworden durch das Sicherheitsvakuum, das durch die Abnahme der UNMIK-Präsenz entstanden sei. Die sogenannten multiethnischen Sicherheitskräfte KPS seien zudem noch zu schwach. Das Fortbestehen der ethischen und politischen Gewalt sei insbesondere darauf zurückzuführen, dass die Polizei- und Justizbehörden nicht dazu in der Lage seien, bei Gewaltakten wirksam zu ermitteln und die Täter zur Rechenschaft zu ziehen. Weiter könne nicht von einer innerstaatlichen Fluchtalternative im Norden des Kosovo ausgegangen werden, da er dort kein soziales Netz habe und sich die Sicherheitslage in diesem Gebiet seit der Unabhängigkeitserklärung Kosovos, welche zu Spannungen zwischen Albanern und Serben geführt habe, weiter verschärft habe.</w:t>
      </w:r>
    </w:p>
    <w:p>
      <w:r>
        <w:rPr>
          <w:b/>
        </w:rPr>
        <w:t>E. 6</w:t>
      </w:r>
    </w:p>
    <w:p>
      <w:r>
        <w:t>Der Beschwerdeführer macht ethnisch motivierte Übergriffe von Seiten privater Dritter geltend. Aufgrund der Akten erweisen sich die vorinstanzlichen Erwägungen, wonach die Asylrelevanz der geltend gemachten Verfolgungsvorbringen aufgrund des Schutzwillens und auch der weitgehenden Schutzfähigkeit der in Kosovo tätigen nationalen und internationalen Sicherheitsbehörden sowie aufgrund einer innerstaatlichen Fluchtalternative im Nordkosovo, zu verneinen sei, als zutreffend (vgl. zur allgemeinen Situation der Minderheiten in Kosovo BVGE 2007/10; Entscheidungen und Mitteilungen der Schweizerischen Asylrekurskommission [EMARK] 2006 Nr. 10 E. 5.4, EMARK 2001 Nr. 13). Zur Vermeidung von Wiederholungen kann daher auf die nicht zu beanstandenden Ausführungen des BFM in der angefochtenen Verfügung verwiesen werden. Die Argumente in der Rechtsmitteleingabe sind nicht geeignet, eine Änderung der angefochtenen Verfügung hinsichtlich der Flüchtlingseigenschaft und des Asyls herbeizuführen. Zudem ist der Beschwerdeführer aufgrund der Aktenlage einerseits als Staatsangehöriger der Republik Kosovo zu betrachten; infolge der serbischen Abstammung und Geburt auf ehemaligem Staatsgebiet der Republik Serbien gemäss serbischem Gesetz (Nr. 135/04, 21. Dezember 2004) verfügt er andererseits auch über die serbische Staatsangehörigkeit (vgl. das zur Publikation vorgesehene Urteil des Bundesverwaltungsgerichts D-7561/2008 vom 15. April 2010 E. 6.4.2). Der Beschwerdeführer hat beim BFM eine serbische Identitätskarte eingereicht, auf dem eigenhändig ausgefüllten Personalienblatt im Empfangs- und Verfahrenszentrum (EVZ) als Staatsangehörigkeit "Serbien" angegeben und sich auch in der Anhörung durch das BFM als serbischen Staatsangehörigen bezeichnet. Asylsuchende, die mehrere Staatsangehörigkeiten besitzen, sind nicht auf den Schutz eines Drittstaates angewiesen, sofern sie in einem der Staaten, deren Staatsangehörige sie sind, Schutz vor Verfolgung finden können (vgl. D-7561/2008 a.a.O. E. 6.5.1). Der Beschwerdeführer kann sich aufgrund seiner serbischen Staatszugehörigkeit in Serbien niederlassen, und es liegen auch keine Anhaltspunkte dafür vor, dass ihm dort asylrechtlich relevante Verfolgung drohen würde. Das BFM hat das Asylgesuch des Beschwerdeführers damit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Kosovo oder Serbien ist demnach unter dem Aspekt von Art. 5 AsylG rechtmässig. Sodann ergeben sich weder aus den Aussagen des Beschwerdeführers noch aus den Akten Anhaltspunkte dafür, dass er für den Fall einer Ausschaffung in den Norden Kosovos oder nach Serbien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Kosovo und Serbien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w:t>
      </w:r>
    </w:p>
    <w:p>
      <w:r>
        <w:t>Wie die Vorinstanz zu Recht festgestellt hat, erscheint der Vollzug der Wegweisung des aus Z._______ im Süden Kosovos stammenden Beschwerdeführers dorthin nicht zumutbar, zumal die Wahrscheinlichkeit einer konkreten Gefährdung für ethnische Serben ausserhalb ihrer Enklaven im Norden Kosovos weiterhin nicht ausgeschlossen werden kann. Nachfolgend ist deshalb zu prüfen, ob für den Beschwerdeführer eine Zufluchtsalternative im Norden Kosovos oder in Serbien besteht.</w:t>
      </w:r>
    </w:p>
    <w:p>
      <w:r>
        <w:rPr>
          <w:b/>
        </w:rPr>
        <w:t>E. 8.5.1</w:t>
      </w:r>
    </w:p>
    <w:p>
      <w:r>
        <w:t>Hinsichtlich der allgemeinen Sicherheits- und Menschenrechtslage ist festzustellen, dass in Serbien nicht von einer Situation allgemeiner Gewalt oder von kriegerischen oder bürgerkriegsähnlichen Verhältnissen gesprochen werden kann, die den Wegweisungsvollzug dorthin unzumutbar erscheinen liessen. Der Vollzug der Wegweisung ethnischer Serben mit letztem Wohnsitz in Kosovo nach Serbien ist grundsätzlich zumutbar (vgl. D-7561/2008 a.a.O. E. 8.3.2). Dasselbe gilt auch für die serbische Enklave im Norden Kosovos.</w:t>
      </w:r>
    </w:p>
    <w:p>
      <w:r>
        <w:rPr>
          <w:b/>
        </w:rPr>
        <w:t>E. 8.5.2</w:t>
      </w:r>
    </w:p>
    <w:p>
      <w:r>
        <w:t>Zu prüfen bleibt, ob der Beschwerdeführer in der serbischen Enklave im Norden Kosovos oder in Serbien aus individuellen Gründen einer konkreten Gefährdung ausgesetzt sein könnte. Wird das Vorliegen einer zumutbaren Aufenthaltsalternative geprüft, so muss das Kriterium der individuellen Zumutbarkeit naturgemäss höheren Anforderungen genügen als bei der Prüfung eines Wegweisungsvollzugs in die Heimatregion. Die vormalige ARK hat für die Beurteilung einer innerstaatlichen Zufluchtsmöglichkeit Kriterien entwickelt, die im konkreten Einzelfall zu prüfen sind (vgl. EMARK 1996 Nr. 2 E. 6b/bb). Gemäss dieser weiterhin zu beachtenden Rechtsprechung sind insbesondere die Kriterien der Sicherung des wirtschaftlichen Existenzminimums, des Bezugs zum möglichen Zufluchtsort sowie der sozialen Integration zu berücksichtigen. Hinsichtlich der Sicherung des wirtschaftlichen Existenzminimums werden vorab die Schul- und Berufsbildung und die im Ausland oder in der Schweiz angeeignete Berufserfahrung berücksichtigt sowie die Sprachkenntnisse, wobei die Aussichten auf ein gesichertes wirtschaftliches Existenzminimum umso günstiger sind, je grösser diese Erfahrungen beziehungsweise diese Kenntnisse der asylsuchenden Person sind. Weiter können allfällige Beziehungen zum möglichen Zufluchtsort die wirtschaftliche und soziale Wiedereingliederung des Beschwerdeführers begünstigen. Derartige Beziehungen können durch einen früheren Aufenthalt oder eine Arbeitsstelle am möglichen Zufluchtsort vor der Einreise in die Schweiz entstanden sein, wobei diese aber erst ab einer gewissen minimalen Dauer ernsthaft ins Gewicht fallen und zu berücksichtigen ist, wie lange die Ausreise aus dem Heimatstaat her ist. Ebenfalls einzubeziehen sind insbesondere Beziehungen zu Verwandten und Freunden, wobei je nach soziokulturellem Hintergrund bei engen verwandtschaftlichen Verhältnissen die Unterstützungsbereitschaft von Verwandten grundsätzlich vermutet werden kann. Bezüglich Freunden und Bekannten muss sich eine solche dagegen ausdrücklich aus den Akten ergeben. Das Kriterium des sozialen Beziehungsnetzes wird zudem relativiert beziehungsweise allenfalls sogar aufgehoben, wenn der Ort, zu dem Beziehungen bestehen, selber durch überdurchschnittliche Repression gegenüber Angehörigen der betroffenen ethnischen Minderheit gekennzeichnet ist. Schliesslich sind im Rahmen der sozialen Integration das Geschlecht, der Zivilstand, das Alter, die Frage "Einzelperson oder Familie", die Anzahl und das Alter der Kinder, die vorhandenen finanziellen Mittel, die Integrationsmöglichkeit vom Ehepartner und von den Kindern und der allgemeine Gesundheitszustand sowie die allgemeine familiäre Situation der Betroffenen zu berücksichtigen. Das Bundesverwaltungsgericht hat festgehalten, dass diese von der ARK entwickelten Kriterien auch auf Konstellationen anzuwenden sind, wo die Zumutbarkeit einer Inanspruchnahme der Aufenthaltsalternative Serbien für ethnische Serben mit letztem Wohnsitz in Kosovo zu prüfen ist (vgl. D-7561/2008 a.a.O. E. 8.3.3.6).</w:t>
      </w:r>
    </w:p>
    <w:p>
      <w:r>
        <w:rPr>
          <w:b/>
        </w:rPr>
        <w:t>E. 8.5.3</w:t>
      </w:r>
    </w:p>
    <w:p>
      <w:r>
        <w:t>Den Akten ist nicht zu entnehmen, dass der Beschwerdeführer je im Norden des Kosovo gelebt hätte oder dort über ein soziales Beziehungsnetz verfügen würde. Unter diesen Umständen erscheint die Möglichkeit, der Beschwerdeführer könnte dort eine die Existenz sichernde Erwerbstätigkeit aufnehmen, als fraglich. Aufgrund der nachfolgenden Erwägungen kann letztlich jedoch offen bleiben, ob der Vollzug der Wegweisung in den Norden des Kosovo zumutbar wäre.</w:t>
      </w:r>
    </w:p>
    <w:p>
      <w:r>
        <w:rPr>
          <w:b/>
        </w:rPr>
        <w:t>E. 8.5.4</w:t>
      </w:r>
    </w:p>
    <w:p>
      <w:r>
        <w:t>Aufgrund seiner serbischen Staatsangehörigkeit hat der Beschwerdeführer eine Aufenthaltsalternative in Serbien: Der Beschwerdeführer ist jung, ledig, serbischer Ethnie und Muttersprache und verfügt über einen Mittelschulabschluss in Wirtschaft, sei aber nie erwerbstätig gewesen, da er keine Arbeitsstelle gefunden habe. Eine Cousine des Beschwerdeführers lebt in X._______ und eine Verwandte mütterlicherseits in Belgrad. Diese mögen nicht in der Lage und möglicherweise auch nicht gewillt sein, ihn längerfristig zu beherbergen und zu unterstützen. Dennoch kann angenommen werden, dass sie ihn zumindest in einer Anfangsphase unterstützen, zumal dies vor dem soziokulturellen Hintergrund seines Heimatstaates vorausgesetzt werden kann. Längerfristig sollte der Beschwerdeführer, der über eine gute Ausbildung verfügt, selbst in der Lage sein, sich in Serbien eine wirtschaftliche Existenz aufzubauen. Die Tatsache, dass er über die wirtschaftlichen Verhältnisse der Verwandten bestens Bescheid weiss und die Telefonnummer seiner Verwandten in Belgrad besitzt, weist zudem darauf hin, dass er mit diesen Verwandten in Kontakt steht, wenn auch - wie in der Beschwerde ausgeführt - allenfalls nur über seine Mutter. Gemäss einer Liste mit diversen Telefonnummern mit der Vorwahl serbischer Städte, welche dem Beschwerdeführer bei der Befragung vom 4. August 2004 abgenommen wurde, dürfte er zudem über weitere Bekannte in Serbien verfügen. Da er in Kosovo zweifelsfrei registriert wurde, stehen einer Anmeldung in Serbien keine administrativen Hindernisse entgegen. Der Beschwerdeführer wird nach einer Anmeldung in Serbien Zugang zu finanzieller und bei Bedarf auch medizinischer Unterstützung haben. Gemäss Arztberichten vom 15. Dezember 2008 und 22. Mai 2009 konnte eine anfänglich vermutete Herzrhythmusstörung beim Beschwerdeführer ausgeschlossen werden. Das bei ihm festgestellte Herzrasen wird in Serbien ohne weiteres behandelt werden können, da dort sowohl die benötigten Medikamente (Betablocker) verfügbar sind, als auch gut ausgebildete Ärzte praktizieren, weshalb ein weiterer Verbleib in der Schweiz aus medizinischen Gründen nicht notwendig ist. Der Vollzug der Wegweisung ist aufgrund des Gesagten auch unter individuellen Gesichtspunkten nicht als unzumutbar zu beurteilen.</w:t>
      </w:r>
    </w:p>
    <w:p>
      <w:r>
        <w:rPr>
          <w:b/>
        </w:rPr>
        <w:t>E. 8.5.5</w:t>
      </w:r>
    </w:p>
    <w:p>
      <w:r>
        <w:t>Nach dem Gesagten erweist sich der Vollzug der Wegweisung nach Serbien als zumutbar.</w:t>
      </w:r>
    </w:p>
    <w:p>
      <w:r>
        <w:rPr>
          <w:b/>
        </w:rPr>
        <w:t>E. 8.6</w:t>
      </w:r>
    </w:p>
    <w:p>
      <w:r>
        <w:t>Schliesslich obliegt es dem Beschwerdeführer, sich bei der zuständigen Vertretung Serbiens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dem Beschwerdeführer aufzuerlegen (Art. 63 Abs. 1 VwVG). Nachdem jedoch das mit der Beschwerde gestellte Gesuch um Gewährung der unentgeltlichen Rechtspflege im Sinne von Art. 65 Abs. 1 VwVG mit Verfügung vom 18. Juni 2009 gutgeheissen wurde, werden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