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D-3854/2016 vom 17. März 2017</w:t>
      </w:r>
    </w:p>
    <w:p>
      <w:r>
        <w:t>Bundesverwaltungsgericht, 2017-03-17, DE</w:t>
      </w:r>
    </w:p>
    <w:p>
      <w:r>
        <w:rPr>
          <w:b/>
        </w:rPr>
        <w:t xml:space="preserve">Quelle: </w:t>
      </w:r>
      <w:r>
        <w:t>https://mcp.opencaselaw.ch/entscheid/bvger_D-3854_2016</w:t>
      </w:r>
    </w:p>
    <w:p>
      <w:r>
        <w:t>FR: TAF D-3854/2016 du 17 mars 2017</w:t>
      </w:r>
    </w:p>
    <w:p>
      <w:r>
        <w:t>IT: TAF D-3854/2016 del 17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 zumal der Kostenvorschuss fristgerecht eingezahlt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seines Entscheides aus, bei den vom Beschwerdeführer genannten Asylvorbringen handle es sich um kriminelle Handlungen von Dritten. Er habe keine staatliche Verfolgung erlebt und gesagt, er sei aus Sicht der heimatlichen Behörden unbescholten. Das SEM gehe davon aus, dass in der Autonomen Region Kurdistan (ARK) eine funktionierende Schutzinfrastruktur bestehe und er über einen tatsächlichen Zugang zum Schutz verfüge, auch wenn einer der Brüder seiner Freundin für den Asaish gearbeitet habe. Seine Vorbringen seien demnach asylrechtlich nicht relevant. Nach einer Rückkehr in den Nordirak habe er jederzeit die Möglichkeit, gegebenenfalls Anzeige gegen die Angehörigen seiner Freundin zu erstatten. Zudem habe er die Möglichkeit, sich allfälligen erneuten Nachstellungen durch die Angehörigen seiner Freundin oder allfälligen Behelligungen durch die lokalen Behörden von B._______ durch Wohnsitznahme in der Stadt C._______ oder einer anderen Stadt der ARK zu entziehen. Daraus folge, dass das Vorliegen einer begründeten Furcht vor Verfolgung zu verneinen sei.</w:t>
      </w:r>
    </w:p>
    <w:p>
      <w:r>
        <w:rPr>
          <w:b/>
        </w:rPr>
        <w:t>E. 5.2</w:t>
      </w:r>
    </w:p>
    <w:p>
      <w:r>
        <w:t>In der Beschwerde wird im Wesentlichen geltend gemacht, dass die Verfolgung durch Drittpersonen im schutzfähigen Staat flüchtlingsrechtlich relevant sein könne. Es sei zu prüfen, ob der Staat gewillt sei, Schutz zu gewähren, was im Nordirak nicht der Fall sei, wenn es um aussereheliche Beziehungen gehe. Selbst wenn nach irakischem Recht ein Übergriff auf den Beschwerdeführer strafbar wäre, werde vom Staat Selbstjustiz toleriert, da dies Gewohnheitsrecht entspreche. Der Staat sei weder willig noch fähig, solche Opfer zu schützen, sondern toleriere solche Akte der Selbstjustiz. Damit werde die private Verfolgung asylrechtlich relevant. Im Übrigen hätten die irakischen Behörden derzeit mit anderen Problemen zu kämpfen, weshalb sie auch deshalb nicht schutzfähig seien. Zudem sei einer der Brüder seiner Freundin beim staatlichen Sicherheitsdienst tätig.</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w:t>
      </w:r>
    </w:p>
    <w:p>
      <w:r>
        <w:rPr>
          <w:b/>
        </w:rPr>
        <w:t>E. 6.2</w:t>
      </w:r>
    </w:p>
    <w:p>
      <w:r>
        <w:t>Der Beschwerdeführer macht geltend, er sei von den Brüdern seiner Freundin bedroht worden, weil er sich entgegen den Willen ihrer Familie weiterhin mit ihr getroffen habe. Die Familie seiner Freundin habe nach seiner Ausreise erneut Anzeige gegen ihn erstattet, da er den Nordirak zusammen mit ihr verlassen habe. Die Familie seiner Freundin habe die aussereheliche Beziehung nicht dulden wollen. Den geltend gemachten Vergeltungsabsichten der Familie seiner Freundin liegt kein asylrechtlich relevantes Verfolgungsmotiv im Sinne von Art. 3 Abs. 1 AsylG zugrunde. Dem Beschwerdeführer musste bei der Aufnahme der Beziehung zu seiner Freundin beziehungsweise deren Aufrechterhaltung trotz Rückweisung der Heiratsanträge durch ihre Familie bewusst sein, dass dies aufgrund der Traditionen in seinem Heimatland zu Problemen mit ihrer Familie führen könnte. Anknüpfungspunkt der dem Beschwerdeführer gemäss eigenen Aussagen drohenden Schwierigkeiten wäre indessen nicht seine Zugehörigkeit zu einem anderen Stamm, sondern sein Verstoss gegen die Tradition und die Beschmutzung der Familienehre seiner Freundin gewesen. Ob der Beschwerdeführer, der ansonsten gemäss eigenen Angaben weder mit staatlichen Behörden noch mit Privatpersonen ernsthafte Probleme gehabt habe, von den Behörden seines Heimatlandes Schutz vor der Verfolgung durch die Familie seiner Freundin hätte erhalten können oder nicht, erweist sich angesichts der vorstehenden Erwägungen entgegen der in der Beschwerde vertretenen Auffassung als asylrechtlich irrelevant, da allfällige Übergriffe auf seine Person nicht aus asylrechtlich relevanten Motiven erfolgt wären beziehungsweise erfolgen würden (vgl. Urteil des Bundesverwaltungsgerichts D-109/2010 vom 3. Januar 2012 E. 7.3).</w:t>
      </w:r>
    </w:p>
    <w:p>
      <w:r>
        <w:rPr>
          <w:b/>
        </w:rPr>
        <w:t>E. 6.3</w:t>
      </w:r>
    </w:p>
    <w:p>
      <w:r>
        <w:t>Zusammenfassend ergibt sich, dass es dem Beschwerdeführer nicht gelungen ist, eine im Zeitpunkt seiner Ausreise aus dem Nordirak beziehungsweise heute bestehende oder unmittelbar drohende asylrelevante Verfolgungsgefahr nachzuweisen oder zumindest glaubhaft zu machen. Das SEM hat das Asylgesuch des Beschwerdeführers demnach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Nordirak lässt den Wegweisungsvollzug zum heutigen Zeitpunkt nicht als unzulässig erscheinen (vgl. Urteil D-3737/2015 vom 14. Dezember 2015 E. 6 und 7 [als Referenzurteil publiziert]. Die nordirakischen Behörden haben Sicherheitsmassnahmen ergriffen, um die Infiltration durch Islamisten einzudämmen, wobei sie auch die Bevölkerung um Mithilfe gebeten haben. Zum Schutz vor Infiltranten oder Sympathisanten des IS wurden die Einreisebedingungen und die Sicherheitsvorkehrungen verschärft und die lokale Bevölkerung aufgefordert, Vertriebenen und Rückkehrern mit Misstrauen und Argwohn zu begegnen (vgl. a.a.O. E. 7.4.4). Die nordirakischen Behörden haben grosse Anstrengungen unternommen, um die Sicherheit im von ihnen kontrollierten Gebiet zu gewährleisten, wobei offensichtlich ist, dass eine absolute Sicherheit für Behördenmitglieder oder Privatpersonen weder im Nordirak noch in anderen Ländern dieser Welt garantiert werden kann. Es ist indessen davon auszugehen, dass die nordirakischen Sicherheitsbehörden dem Beschwerdeführer im Rahmen ihrer Möglichkeiten Schutz vor Drittpersonen gewähren, sollte er konkret bedroht werden, zumal keine konkreten Anhaltspunkte dafür vorliegen, ausgerechnet ihm würde dieser Schutz versagt. Daran ändert auch nichts, dass einer der Brüder seiner Freundin beim Asaish gearbeitet habe.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im Urteil E-3737/2015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ARK-Region nicht zu verzeichnen; der Rückzug der zentralirakischen Armee aus Gebieten, die an das ARK-Gebiet angrenzen, hat es den kurdischen Peschmerga im Herbst 2014 sogar ermöglicht, ihr Herrschaftsgebiet faktisch zu erweitern. Bei den Kämpfen entlang der Grenze zum ARK-Gebiet ist es den durch die Luftwaffe und Waffenlieferungen der alliierten Truppen unterstützten Peschmerga bisher gelungen, einen Vormarsch des IS in das ARK-Gebiet zu verhindern. Mitte November 2015 konnten sie diesen aus der Region nordöstlich des kurdischen Autonomiegebiets vertreiben. Das Bundesverwaltungsgericht hält seither an seiner Einschätzung fest, bezüglich des ARK-Gebiets sei nicht von einer Situation allgemeiner Gewalt im Sinn von Art. 83 Abs. 4 AuG auszugehen.</w:t>
      </w:r>
    </w:p>
    <w:p>
      <w:r>
        <w:rPr>
          <w:b/>
        </w:rPr>
        <w:t>E. 8.4.2</w:t>
      </w:r>
    </w:p>
    <w:p>
      <w:r>
        <w:t>Der Beschwerdeführer ist ein junger und den Akten gemäss gesunder Mann und Kurde, der zusammen mit seinen Angehörigen in B._______ (Provinz C._______) lebte, wo gemäss seinen Angaben seine Eltern zusammen mit seinem jüngeren Bruder ansässig sind. Seine verheiratete Schwester lebt in C._______. Mehrere Onkel und Tanten leben ebenfalls im Nordirak (vgl. act. A4/13 S. 5 f.). Ausserdem hat vor seiner Ausreise zusammen mit einem Partner ein gut gehendes Schneideratelier betrieben (vgl. act. A15/25 S. 3 f.). Vor diesem Hintergrund ist davon auszugehen, dass er sich in seiner Herkunftsregion trotz seiner bald eineinhalbjährigen Abwesenheit sozial und beruflich rasch wieder wird integrieren können.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