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D-3854/2015 vom 3. September 2015</w:t>
      </w:r>
    </w:p>
    <w:p>
      <w:r>
        <w:t>Bundesverwaltungsgericht, 2015-09-03, DE</w:t>
      </w:r>
    </w:p>
    <w:p>
      <w:r>
        <w:rPr>
          <w:b/>
        </w:rPr>
        <w:t xml:space="preserve">Quelle: </w:t>
      </w:r>
      <w:r>
        <w:t>https://mcp.opencaselaw.ch/entscheid/bvger_D-3854_2015</w:t>
      </w:r>
    </w:p>
    <w:p>
      <w:r>
        <w:t>FR: TAF D-3854/2015 du 3 septembre 2015</w:t>
      </w:r>
    </w:p>
    <w:p>
      <w:r>
        <w:t>IT: TAF D-3854/2015 del 3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Das Verfahren richtet sich nach dem VwVG, soweit das VGG und das AsylG nichts anderes bestimmen (Art. 37 VGG und Art. 6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Der Beschwerdeführer macht geltend, der Wegweisungsvollzug sei unzumutbar. Prozessgegenstand des vorliegenden Beschwerdever­fahrens bildet demnach einzig die Frage des Wegweisungsvollzuges i.S. von Art. 83 AuG (SR 142.20). Die Ziffern 1 (Verneinung der Flüchtlingseigenschaft), 2 (Ablehnung des Asylgesuchs) und 3 (Anordnung der Wegweisung) des Dispositivs der Verfügung des SEM vom 13. Mai 2015 sind demnach in Rechtskraft erwachsen.</w:t>
      </w:r>
    </w:p>
    <w:p>
      <w:r>
        <w:rPr>
          <w:b/>
        </w:rPr>
        <w:t>E. 5</w:t>
      </w:r>
    </w:p>
    <w:p>
      <w:r>
        <w:t>Der Vollzug der Wegweisung erweist sich - wie im Folgen­den auf­zu­zeigen ist - als unzumutbar, weshalb auf eine Er­örterung der bei­den andern Voraussetzungen eines rechtmässigen Wegweisungs­voll­zugs zu verzichten ist.</w:t>
      </w:r>
    </w:p>
    <w:p>
      <w:r>
        <w:rPr>
          <w:b/>
        </w:rPr>
        <w:t>E. 6.1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 einer ernsthaften Verschlechterung ihres Gesundheitszustands, der Invalidität oder dem Tod ausgeliefert wären (vgl. BVGE 2009/52 E. 10.1, BVGE 2009/51 E. 5.5, BVGE 2009/28 E. 9.3.1, je m.w.H.).</w:t>
      </w:r>
    </w:p>
    <w:p>
      <w:r>
        <w:rPr>
          <w:b/>
        </w:rPr>
        <w:t>E. 6.2</w:t>
      </w:r>
    </w:p>
    <w:p>
      <w:r>
        <w:t>Hinsichtlich der Zumutbarkeit des Wegweisungsvollzugs hielt das Gericht in BVGE 2011/38 betreffend Herat fest, angesichts des Umstandes, dass die dortige Situation verhältnismässig ruhig sei, in der Stadt selbst keine Aktivitäten bewaffneter Gruppen zu verzeichnen seien und sich die Lage ähnlich wie in Kabul präsentiere, könne die Zumutbarkeit unter gewissen Umständen bejaht werden: Zufolge der konstanten Verschlechterung der Lage über die vergangenen Jahre hinweg und der auch in Herat schwierigen Situation verstehe es sich aber von selbst, dass die bereits in EMARK 2003 Nr. 10 formulierten strengen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Diese Praxis hat nach wie vor Gültigkeit (vgl. Urteil des Bundesverwaltungsgerichts D-4336/2014 vom 28. Mai 2015 E. 8.4.1).</w:t>
      </w:r>
    </w:p>
    <w:p>
      <w:r>
        <w:rPr>
          <w:b/>
        </w:rPr>
        <w:t>E. 6.3.1</w:t>
      </w:r>
    </w:p>
    <w:p>
      <w:r>
        <w:t>Der Beschwerdeführer macht geltend, aus B._______ (Distrikt C._______) zu stammen. Nach dem Tod des Vaters habe er zusammen mit der Familie eines Onkels im dortigen elterlichen Haus gelebt. Im Zusammenhang mit dem Zeitpunkt des Verkaufs dieses Hauses ergeben sich aus den Akten einige Unstimmigkeiten (A 10/21 Antworten 2 ff.). Im Sinne der vorinstanzlichen Erwägungen und auch der Beschwerdevorbringen ist davon auszugehen, dass dieser Verkauf bereits einige Zeit vor der definitiven Ausreise aus Afghanistan 2014 erfolgte. Danach soll der Onkel nach E._______/Herat gezogen sein. Unbesehen der Frage, ob bereits das Dorf im Distrikt C._______ als Teil der Stadt Herat im hier relevanten Sinne bezeichnet werden kann, bestand für ihn mithin im Zeitpunkt der Ausreise grundsätzlich eine Wohngelegenheit in Herat.</w:t>
      </w:r>
    </w:p>
    <w:p>
      <w:r>
        <w:rPr>
          <w:b/>
        </w:rPr>
        <w:t>E. 6.3.2</w:t>
      </w:r>
    </w:p>
    <w:p>
      <w:r>
        <w:t>Im erstinstanzlichen Verfahren machte der Beschwerdeführer wiederholt geltend, er sei von seinem Onkel ausgenützt worden. Insbesondere sei ab dem zehnten Altersjahr der Schulbesuch unterbunden und er zu Arbeitsleistungen herangezogen worden (A 4/14 S. 4 f.; A 10/21). Nach seiner Verletzung soll sich die Beziehung zum Onkel etwas verbessert haben (a.a.O. Antworten 181 ff.). Bereits aufgrund des nur bescheidenen Schulbesuchs erscheinen seine Perspektiven vor Ort als eingeschränkt. Hinzu kommen namentlich die Behinderungen wegen der stark eingeschränkten Sehkraft. Im ärztlichen Bericht vom 22. Juni 2015 wird festgehalten, der Patient sei (...). Im Weiteren bringt der Beschwerdeführer vor, das Geld vom Hausverkauf bereits aufgebraucht zu haben. Nebst der militärischen erfuhr er gemäss Aktenlage keine weitere Ausbildung. Als soziales Netz kommt wie erwähnt der Onkel und dessen Familie in Betracht. Unbesehen der Frage, inwieweit dieser Onkel vor Ort überhaupt in der Lage wäre, dem Beschwerdeführer eine Existenzgrundlage zu verschaffen, ist das Bestehen eines tragfähigen sozialen Netzes, auf welches er wegen seiner massiven Sehbehinderung umso mehr angewiesen wäre, zu verneinen. Das SEM bringt zwar vor, der Umstand, wonach er eine interkontinentale Reise auf dem Landweg selbständig habe bewältigen können, lasse auch auf die Arbeitsfähigkeit schliessen. Anlässlich der Anhörung verdeutlichte er aber, dass er nur mit Hilfe von Landsleuten unterwegs habe reisen können. Eine staatliche Rente erhalte er nicht (A 10/21 Antworten 34 f. und 54). Schliesslich erscheint als fraglich, ob aufgrund der fragilen medizinischen Infrastruktur vor Ort eine zumutbare Weiterbehandlung des geltend gemachten und ernsthaften Krankheitsbilds gewährleistet wäre.</w:t>
      </w:r>
    </w:p>
    <w:p>
      <w:r>
        <w:rPr>
          <w:b/>
        </w:rPr>
        <w:t>E. 6.4</w:t>
      </w:r>
    </w:p>
    <w:p>
      <w:r>
        <w:t>Im Rahmen einer Gesamtwürdigung der geschilderten sozialen, gesundheitlichen und wirtschaftlichen Aspekte kommt das Gericht zum Schluss, dass der Vollzug der Wegweisung des Beschwerdeführers in sein Heimatland als unzumutbar zu erachten ist.</w:t>
      </w:r>
    </w:p>
    <w:p>
      <w:r>
        <w:rPr>
          <w:b/>
        </w:rPr>
        <w:t>E. 6.5</w:t>
      </w:r>
    </w:p>
    <w:p>
      <w:r>
        <w:t>Da sich aus den Akten keine Hinweise auf das Vorliegen von Ausschlussgründen im Sinne von Art. 83 Abs. 7 AuG ergeben, sind die Voraussetzungen für die Anordnung der vorläufigen Aufnahme gemäss Art. 83 Abs. 1 und 4 AuG erfüllt.</w:t>
      </w:r>
    </w:p>
    <w:p>
      <w:r>
        <w:rPr>
          <w:b/>
        </w:rPr>
        <w:t>E. 7</w:t>
      </w:r>
    </w:p>
    <w:p>
      <w:r>
        <w:t>Nach dem Gesagten ist die Beschwerde gutzuheissen. Die Ziffern 4 und 5 des Dispositivs der Verfügung der Vorinstanz vom 13. Mai 2015 sind aufzuheben und das SEM ist anzuweisen, den Beschwerdeführer in der Schweiz vorläufig aufzunehmen.</w:t>
      </w:r>
    </w:p>
    <w:p>
      <w:r>
        <w:rPr>
          <w:b/>
        </w:rPr>
        <w:t>E. 8.1</w:t>
      </w:r>
    </w:p>
    <w:p>
      <w:r>
        <w:t>Bei diesem Ausgang des Verfahrens sind keine Kosten aufzuerlegen (Art. 63 Abs. 1 und 2 VwVG).</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am 26. Juni 2015 zum amtlichen Rechtsbeistand ernannte Rechtsvertreter hat für dieses Verfahren keine Kostennote zu den Akten gereicht. Auf die Nachforderung einer solchen kann indes verzichtet werden, da sich die Vertretungskosten aufgrund der für das Verfahren ausschlaggebenden Akten zuverlässig abschätzen lassen. Demnach ist die vom SEM auszurichtende Parteientschädigung unter Berücksichtigung aller massgeblicher Faktoren auf insgesamt Fr. 1'500.- (inkl. Allfällige Auslagen und MWST) festzusetzen (vgl. Art. 16 Abs. 1 Bst. a VGG i.V.m. Art. 8 und 14 Abs. 2 VGKE). Der Anspruch auf das in gleicher Höhe zu bemessende Honorar für die amtliche 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