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D-3851/2015 vom 25. August 2015</w:t>
      </w:r>
    </w:p>
    <w:p>
      <w:r>
        <w:t>Bundesverwaltungsgericht, 2015-08-25, DE</w:t>
      </w:r>
    </w:p>
    <w:p>
      <w:r>
        <w:rPr>
          <w:b/>
        </w:rPr>
        <w:t xml:space="preserve">Quelle: </w:t>
      </w:r>
      <w:r>
        <w:t>https://mcp.opencaselaw.ch/entscheid/bvger_D-3851_2015</w:t>
      </w:r>
    </w:p>
    <w:p>
      <w:r>
        <w:t>FR: TAF D-3851/2015 du 25 août 2015</w:t>
      </w:r>
    </w:p>
    <w:p>
      <w:r>
        <w:t>IT: TAF D-3851/2015 del 25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Gemäss langjähriger asylrechtlicher Praxis handelt es sich bei der Einreichung eines Asylgesuches aus dem Ausland um ein sogenanntes "relativ höchstpersönliches Recht" (vgl. Entscheidungen und Mitteilungen der Schweizerischen Asylrekurskommission [EMARK] 1996 Nr. 5), und die Ausübung eines höchstpersönlichen Rechts setzt lediglich die Urteilsfähigkeit einer für sich selbst handelnden Person voraus. Das Bundesverwaltungsgericht hält in BVGE 2011/39 E. 4.3.2 fest, dass das Stellen eines Asylgesuches eine Vertretung lediglich insofern zulässt, als für eine urteilsunfähige Person ein Asylgesuch auch durch ihren gesetzlichen Vertreter eingereicht werden kann, ansonsten jedoch ein persönlicher Antrag durch die asylsuchende Person erforderlich ist. Die betreffende Person muss persönlich vor einer schweizerischen Asylbehörde im In- oder Ausland auftreten, damit feststeht, dass sie tatsächlich ein Asylgesuch stellen wollte. Im Verlauf des erstinstanzlichen Verfahrens ist es möglich, diesen Mangel zu beheben (vgl. BVGE 2011/39 E. 4.3.2).</w:t>
      </w:r>
    </w:p>
    <w:p>
      <w:r>
        <w:rPr>
          <w:b/>
        </w:rPr>
        <w:t>E. 1.2.1</w:t>
      </w:r>
    </w:p>
    <w:p>
      <w:r>
        <w:t>Im vorliegenden Verfahren wurde die Beschwerdeführerin unter Hinweis auf die Säumnisfolge mit Schreiben vom 2. März 2015 aufgefordert, eine persönlich von ihrem Ehemann und ihren Kindern F._______ und G._______ verfasste Willensäusserung beziehungsweise Stellungnahme einzureichen (vgl. vorstehend Bst. B.a mit Hinweis auf BVGE 2011/39 E. 4.3 m.w.H.). Trotz dieser Aufforderung sind diese nie persönlich in Erscheinung getreten und haben nie den Willen bekundet, um Asyl zu ersuchen, weshalb das SEM mit separater Verfügung vom 30. April 2015 auf deren Asylgesuch nicht eintrat (vgl. vorstehend Bst. C). Partei im vorliegenden Verfahren sind somit nur die Beschwerdeführerin und ihre Kinder B._______, C._______ und D._______. Folglich ist im vorliegenden Verfahren, soweit die Beschwerdeführerin in ihrer Eingabe vom 26. April 2015 (Eingangsstempel der Vertretung) sinngemäss geltend macht, auch ihrem Ehemann und ihren Kindern F._______ und G._______ sei die Einreise in die Schweiz zu gewähren, weil sie sich ebenfalls im Sudan nicht sicher fühlen und um ihr Leben fürchten würden, nicht einzutreten.</w:t>
      </w:r>
    </w:p>
    <w:p>
      <w:r>
        <w:rPr>
          <w:b/>
        </w:rPr>
        <w:t>E. 1.3</w:t>
      </w:r>
    </w:p>
    <w:p>
      <w:r>
        <w:t>Die Beschwerde wurde in englischer Sprache und somit nicht in einer Amtssprache des Bundes abgefasst. Auf die Ansetzung einer Frist zu Beschwerdeverbesserung kann indessen aus prozessökonomischen Gründen praxisgemäss verzichtet werden, zumal der Eingabe der Beschwerdeführerin genügend klare, sinngemässe Rechtsbegehren sowie deren Begründung zu entnehmen sind und ohne Weiteres befunden werden kann.</w:t>
      </w:r>
    </w:p>
    <w:p>
      <w:r>
        <w:rPr>
          <w:b/>
        </w:rPr>
        <w:t>E. 1.4</w:t>
      </w:r>
    </w:p>
    <w:p>
      <w:r>
        <w:t>Das genaue Datum der Eröffnung der vorinstanzlichen Verfügung vom 30. April 2015 ist nicht bekannt. Die undatierte Rechtsmitteleingabe der Beschwerdeführerin wurde von der Vertretung mit einem Eingangsstempel vom 26. April 2015 versehen. Hierbei muss es sich offensichtlich um ein Kanzleiversehen handeln. Die Beschwerde ist somit aus prozessökonomischen Gründen als rechtzeitig eingereicht zu erachten.</w:t>
      </w:r>
    </w:p>
    <w:p>
      <w:r>
        <w:rPr>
          <w:b/>
        </w:rPr>
        <w:t>E. 1.5</w:t>
      </w:r>
    </w:p>
    <w:p>
      <w:r>
        <w:t>Gemäss den vorstehenden Ausführungen ist die Beschwerde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von der Vertretung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in diesem Fall im Sinne des rechtlichen Gehörs die Gelegenheit zu geben, sich zu einem abzusehenden negativen Entscheid zumindest schriftlich zu äussern (BVGE 2007/30 E. 5.7 S. 367).</w:t>
      </w:r>
    </w:p>
    <w:p>
      <w:r>
        <w:rPr>
          <w:b/>
        </w:rPr>
        <w:t>E. 5.2</w:t>
      </w:r>
    </w:p>
    <w:p>
      <w:r>
        <w:t>Im vorliegenden Fall wurde die Beschwerdeführerin von der Botschaft in Khartum zu ihrem Asylgesuch nicht befragt. Indes wurde sie im Rahmen des rechtlichen Gehörs mittels Schreiben vom 2. März 2015 zur weiteren Konkretisierung ihrer Asylgründe aufgefordert (vgl. Bst. B.a hiervor). In Verbindung mit den bereits vorgängig enthaltenen Fragestellungen sowie den entsprechenden Antworten der Beschwerdeführerin dazu (vgl. Bstn. B.a und B.b hiervor) konnte das SEM letztlich davon ausgehen, dass sämtliche für die Beurteilung des Asylgesuchs aus dem Ausland notwendigen Aspekte abgedeckt waren, namentlich die genauen Personalien der asylsuchenden Personen, die detaillierten Asylvorbringen, die unternommenen Massnahmen zur Schutzsuche oder die Möglichkeit einer innerstaatlichen Fluchtalternative. Dabei ist festzustellen, dass sich die Beschwerdeführerin in allen ihren Eingaben grundsätzlich auf den gleichen Sachverhalt berief. Aufgrund der Schilderungen der Beschwerdeführerin durfte das SEM davon ausgehen, dass sämtliche für die Beurteilung des Asylgesuches aus dem Ausland notwendigen Sachverhaltsaspekte vorgebracht wurden. Das SEM ist zudem der Begründungspflicht des Befragungsverzichts nachgekommen, so dass im vorliegenden Verfahren dem Anspruch der Beschwerdeführerin auf Gewährung des rechtlichen Gehörs Rechnung getragen und der entscheidwesentliche Sachverhalt in genügender Weise und umfassend abgeklärt wurde.</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das SEM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Nach Prüfung der Akten durch das Gericht ist festzustellen, dass die Vorinstanz in der angefochtenen Verfügung überzeugend dargelegt hat, dass den von der Beschwerdeführerin geltend gemachten Schwierigkeiten und Behelligungen keine einreiserelevante Bedeutung zukommt. Es kann deshalb vorab auf die vorinstanzlichen Erwägungen verwiesen werden (vgl. vorstehend unter D.). Die Beschwerdeführerin und ihre drei jüngeren Kinder halten sich in einem Drittstaat, dem Sudan, auf. Zwar anerkennt das Bundesverwaltungsgericht, dass die Umstände im Sudan schwierig und teilweise unbefriedigend sind. Dennoch sind sie nicht dergestalt, dass auch ohne Bezug zur Schweiz eine Einreise in die Schweiz bewilligt werden müsste (vgl. Entscheidungen und Mitteilungen der Schweizerischen Asylrekurskommission [EMARK] 2005 Nr. 19). Das Bundesverwaltungsgericht schliesst sich somit den Ausführungen des SEM vollumfänglich an, zumal sich aus der Beschwerde und den auf Beschwerdeebene eingereichten Unterlagen nichts ergibt, was die Erwägungen des SEM entkräften könnte. Somit ist es der Beschwerdeführerin nicht gelungen, eine aktuelle Gefähr­dung im Sinne von Art. 3 AsylG aufzuzeigen, welche die Bewilligung der Einreise in die Schweiz rechtfertigen würde. Die Schutzbedürftigkeit der Beschwerdeführerin und ihrer drei jüngeren Kinder im Sinne von aArt. 20 i. V. m. Art. 3 AsylG ist nicht gegeben. Das SEM hat der Beschwerdeführerin und ihren drei jüngeren Kinder zu Recht die Einreise in die Schweiz verweigert und das Asylgesuch abgelehnt.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8</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