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D-3850/2023 vom 21. Juli 2023</w:t>
      </w:r>
    </w:p>
    <w:p>
      <w:r>
        <w:t>Bundesverwaltungsgericht, 2023-07-21, DE</w:t>
      </w:r>
    </w:p>
    <w:p>
      <w:r>
        <w:rPr>
          <w:b/>
        </w:rPr>
        <w:t xml:space="preserve">Quelle: </w:t>
      </w:r>
      <w:r>
        <w:t>https://mcp.opencaselaw.ch/entscheid/bvger_D-3850_2023</w:t>
      </w:r>
    </w:p>
    <w:p>
      <w:r>
        <w:t>FR: TAF D-3850/2023 du 21 juillet 2023</w:t>
      </w:r>
    </w:p>
    <w:p>
      <w:r>
        <w:t>IT: TAF D-3850/2023 del 21 luglio 2023</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 liegend – endgültig (vgl. Art. 83 Bst. d Ziff. 1 BGG; Art. 105 AsylG). Der Be- schwerdeführer ist als Verfügungsadressat zur Beschwerdeführung legiti- miert (Art. 48 VwVG). Auf die frist- und formgerecht eingereichte Be- schwerde ist einzutreten (Art. 108 Abs. 1 AsylG i.V.m. Art. 10 Covid-19-Ver- ordnung Asyl vom 20. April 2020 [SR 142.318]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vorliegend auf einen Schriften- wechsel verzichtet.</w:t>
      </w:r>
    </w:p>
    <w:p>
      <w:r>
        <w:t>D-3850/2023 Seite 6</w:t>
      </w:r>
    </w:p>
    <w:p>
      <w:r>
        <w:rPr>
          <w:b/>
        </w:rPr>
        <w:t>E. 4.1</w:t>
      </w:r>
    </w:p>
    <w:p>
      <w:r>
        <w:t>In der Beschwerde werden formelle Rügen erhoben, welche vorab zu beurteilen sind, da sie gegebenenfalls geeignet sind, eine Kassation der vorinstanzlichen Verfügung zu bewirken (vgl. Entscheidungen und Mittei- lungen der [vormaligen] Schweizerischen Asylrekurskommission [EMARK] 2004 Nr. 38). Der Beschwerdeführer rügt eine Verletzung des Anspruchs auf rechtliches Gehör inklusive der Begründungspflicht sowie eine unvoll- ständige und unrichtige Abklärung des rechtserheblichen Sachverhalts.</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dagegen, dass sich die Begründung mit allen Parteistandpunkten ein- lässlich auseinandersetzt und jedes einzelne Vorbringen ausdrücklich wi- derlegt (vgl. BGE 143 III 65 E. 5.2).</w:t>
      </w:r>
    </w:p>
    <w:p>
      <w:r>
        <w:t>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4.3</w:t>
      </w:r>
    </w:p>
    <w:p>
      <w:r>
        <w:t>Soweit der Beschwerdeführer rügt, die Verständigungsschwierigkeiten an der Anhörung hätten ihn daran gehindert, seine Gesuchsgründe aus- führlich und detailliert vorzutragen, ist das Folgende festzuhalten: Die Um- stände der Anhörung sind zwar nicht als ideal zu bezeichnen, zumal für die Muttersprache des Beschwerdeführers (Otjiherero) offenbar keine dolmet- schende Person gefunden werden konnte. Die Anhörung erfolgte in Eng- lisch und Afrikaans. Insgesamt hat dies das Erstellen des rechtserhebli- chen Sachverhalts, wie nachfolgend darzulegen ist, aber nicht verunmög- licht. So hat der Beschwerdeführer zu Beginn der Anhörung ausdrücklich bestätigt, die dolmetschende Person zu verstehen (vgl. A11 F1). Zudem</w:t>
      </w:r>
    </w:p>
    <w:p>
      <w:r>
        <w:t>D-3850/2023 Seite 7 hat er anlässlich der Personalienaufnahme explizit Englisch als mögliche weitere Sprache, in der er befragt werden könne, angegeben (vgl. A1 Ziff. 1.17.03). Gemäss den Akten konnte sich der Beschwerdeführer – wenn auch mitunter nach Wiederholungen – denn auch genügend auf Eng- lisch verständigen. Selbst wenn ihm eine Anhörung in seiner Mutterspra- che Otjiherero erlaubt hätte, sich besser und wohl detaillierter auszudrü- cken, konnte er seine gesamten Asylvorbringen doch in nachvollziehbarer Weise schildern. Dabei ist vor allem auch wesentlich, dass ihm vom SEM nicht entgegengehalten wurde, er habe die Ereignisse unsubstantiiert dar- getan; die geltend gemachten Ereignisse wurden vielmehr im Wesentli- chen als glaubhaft erachtet und auf ihre Asylrelevanz hin überprüft. Vor diesem Hintergrund muss davon ausgegangen werden, dass er sich aus- reichend zu seinen Asylgründen beziehungsweise zu möglichen Wegwei- sungsvollzugshindernissen äussern konnte, womit die entscheidwesentli- chen Sachverhaltselemente erstellt sind.</w:t>
      </w:r>
    </w:p>
    <w:p>
      <w:r>
        <w:rPr>
          <w:b/>
        </w:rPr>
        <w:t>E. 4.4</w:t>
      </w:r>
    </w:p>
    <w:p>
      <w:r>
        <w:t>Soweit der Beschwerdeführer ferner rügt, das SEM verkenne sowohl das Vorliegen einer asylrelevanten Verfolgung im Heimatland als auch von Wegweisungsvollzugshindernissen, vermengt er die sich aus dem Unter- suchungsgrundsatz ergebende Pflicht zur Feststellung des rechtserhebli- chen Sachverhalts mit der rechtlichen Würdigung der Sache, welche die materielle Entscheidung über die vorgebrachten Asylgründe und Wegwei- sungsvollzugshindernisse betrifft, weshalb diesbezüglich auf die nachfol- genden Erwägungen zu verweisen ist. Sodann hat das SEM nachvollzieh- bar aufgezeigt, von welchen Überlegungen es sich leiten liess (vgl. Pro- zessgeschichte, Bst. E.b). Damit ist es seiner Begründungspflicht in aus- reichender Weise nachgekommen; zusätzlicher Informationen oder Quel- lenangaben bedurfte es nicht. Alleine der Umstand, dass der Beschwerde- führer die Auffassung und Schlussfolgerungen des SEM nicht teilt, stellt mithin keine Verletzung der Untersuchungs- und Begründungspflicht dar.</w:t>
      </w:r>
    </w:p>
    <w:p>
      <w:r>
        <w:rPr>
          <w:b/>
        </w:rPr>
        <w:t>E. 4.5</w:t>
      </w:r>
    </w:p>
    <w:p>
      <w:r>
        <w:t>Nach dem Gesagten besteht keine Veranlassung, die angefochtene Verfügung aus formellen Gründen aufzuheben und die Sache an das SEM zurückzuweisen. Der entsprechende Eventualantrag ist abzuweisen.</w:t>
      </w:r>
    </w:p>
    <w:p>
      <w:r>
        <w:rPr>
          <w:b/>
        </w:rPr>
        <w:t>E. 5.1</w:t>
      </w:r>
    </w:p>
    <w:p>
      <w:r>
        <w:t>Das Bundesverwaltungsgericht gelangt nach Prüfung der Akten in ma- terieller Hinsicht zum Schluss, dass das SEM zutreffend festgehalten hat, die Vorbringen des Beschwerdeführers genügten den Anforderungen an die Flüchtlingseigenschaft im Sinne von Art. 3 AsylG nicht. Auf die betref- fenden Ausführungen in der angefochtenen Verfügung (vgl. Prozess-</w:t>
      </w:r>
    </w:p>
    <w:p>
      <w:r>
        <w:t>D-3850/2023 Seite 8 geschichte, Bst. E.b) kann mit den nachfolgenden Ergänzungen verwiesen werden. Die Ausführungen auf Beschwerdeebene halten dem nichts Stich- haltiges entgegen.</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nichtstaatliche Verfolgung ist nur dann asylrelevant, wenn der Staat unfähig oder nicht willens ist, davor Schutz zu bieten, beziehungsweise wenn die Betroffenen aus einem asylrechtlichen Motiv nicht geschützt wer- den. Es kann dabei nicht eine faktische Garantie für langfristigen individu- ellen Schutz der von nichtstaatlicher Verfolgung bedrohten Personen ver- langt werden, weil es keinem Staat gelingen kann, die absolute Sicherheit seiner Bürgerinnen und Bürger jederzeit und überall zu garantieren. Erfor- derlich ist aber, dass eine funktionierende und effiziente Schutzinfrastruktur zur Verfügung steht, wobei in erster Linie an ein Rechts- und Justizsystem zu denken ist, welches eine effektive Strafverfolgung ermöglicht (vgl. BVGE 2011/51 E. 7.3 m.w.H.). Die Inanspruchnahme dieses Schutzsys- tems muss der betroffenen Person objektiv zugänglich und individuell zu- mutbar sein, was jeweils im Rahmen einer Einzelfallprüfung unter Berück- sichtigung des länderspezifischen Kontextes zu beurteilen ist.</w:t>
      </w:r>
    </w:p>
    <w:p>
      <w:r>
        <w:rPr>
          <w:b/>
        </w:rPr>
        <w:t>E. 5.3</w:t>
      </w:r>
    </w:p>
    <w:p>
      <w:r>
        <w:t>Das vorgebrachte Verfolgungsmotiv der Homosexualität lässt sich un- ter der in Art. 3 AsylG erwähnten „sozialen Gruppe“ erfassen (vgl. Urteil des BVGer D-6758/2017 vom 5. Juli 2019 E. 5.2.2). Dies steht in Überein- stimmung mit der Rechtsprechung des Europäischen Gerichtshofs (EuGH) vom 7. November 2013 (C-199/12, C-200/12, C-201/12), wonach homose- xuelle Asylsuchende eine bestimmte soziale Gruppe bilden können, die wegen ihrer sexuellen Ausrichtung einer Verfolgung ausgesetzt ist. Wie vom SEM zutreffend dargelegt, bleiben in Namibia sexuelle Handlun- gen zwischen Männern zwar weiterhin gesetzlich kriminalisiert, Strafverfol- gung nach dieser Gesetzgebung findet aber seit der Unabhängigkeit Na- mibias im Jahr 1990 faktisch nicht mehr statt (Law Reform and</w:t>
      </w:r>
    </w:p>
    <w:p>
      <w:r>
        <w:t>D-3850/2023 Seite 9 Development Commission [LRDC], Report on the Abolishment of the Com- mon Law Offences of Sodomy and Unnatural Sexual Offences, Februar 2021, https://media.namiblii.org/files/na/other/law-reform-report/NAL- RDC%2043/43%20LRDC%20-%20Report%20on%20the%20abolish- ment%20of%20the%20Common%20Law%20offences%20of%20So- domy%20and%20unnatural%20Sexual%20offences_0.pdf, abgerufen am 18.07.2023). Vielmehr sucht die namibische Regierung nach wirksamen Mechanismen zur Klärung ihrer Position hinsichtlich der Rechtsstellung Homosexueller angesichts respektive trotz bestehender normativer und re- ligiöser Barrieren. In der Zwischenzeit gilt das allgemeine Recht auf Nicht- diskriminierung gemäss Artikel 10 der namibischen Verfassung (United Na- tions Human Rights Council [UNHRC], 2021 National Report: Namibia, https://documents-dds-ny.un.org/doc/UN- DOC/GEN/G21/031/32/PDF/G2103132.pdf?OpenElement, abgerufen am 18.07.2023). Beispielsweise geniessen Homosexuelle die Meinungs- und Vereinigungsfreiheit und werden nicht daran gehindert, Veranstaltungen abzuhalten, darunter ein einwöchiges Pride Festival mit einer Parade. Trotz der Fortschritte der Menschenrechtsbewegung existieren Berichte, wo- nach Diskriminierung beim Zugang zu Justiz-, Gesundheits- und Sozial- diensten verbreitet sei (US Department of State, 2022 Country Reports on Human Rights Practices: Namibia, https://www.state.gov/reports/2022- country-reports-on-human-rights-practices/namibia/, abgerufen am 18.07.2023). Dennoch ist davon auszugehen, dass homosexuelle Perso- nen in Namibia von Seiten des Staates grundsätzlich geduldet sind und ihnen ein gewisser Schutz nicht verwehrt wird. Nach dem Gesagten ist eine asylrelevante Verfolgung aufgrund der Homosexualität des Beschwerde- führers zu verneinen.</w:t>
      </w:r>
    </w:p>
    <w:p>
      <w:r>
        <w:rPr>
          <w:b/>
        </w:rPr>
        <w:t>E. 5.4</w:t>
      </w:r>
    </w:p>
    <w:p>
      <w:r>
        <w:t>Eine subjektiv empfundene Furcht vor staatlicher Schutzverweigerung bei Übergriffen durch private Drittpersonen stellt erst dann eine flüchtlings- rechtlich bedeutsame Verfolgung im Sinne von Art. 3 AsylG dar, wenn sie auch objektiv nachvollziehbar und mithin begründet ist. Zumindest letzte- res Element liegt angesichts der Vorbringen des Beschwerdeführers nicht vor. Der Beschwerdeführer hat explizit verneint, jemals Anzeige bei der Po- lizei erstattet zu haben (vgl. A11 F53, F86 f.). Und selbst wenn einzelne Polizeibeamte sich geweigert hätten, eine Anzeige in diesem Zusammen- hang entgegenzunehmen oder zu bearbeiten, wäre der Beschwerdeführer gehalten gewesen, sich an übergeordnete Verwaltungseinheiten, eine der bestehenden zivilgesellschaftlichen Organisationen im Lande oder einen Anwalt zu wenden, bevor er in der Schweiz um Schutz ersucht hat.</w:t>
      </w:r>
    </w:p>
    <w:p>
      <w:r>
        <w:t>D-3850/2023 Seite 10</w:t>
      </w:r>
    </w:p>
    <w:p>
      <w:r>
        <w:rPr>
          <w:b/>
        </w:rPr>
        <w:t>E. 5.5</w:t>
      </w:r>
    </w:p>
    <w:p>
      <w:r>
        <w:t>Das SEM hat demzufolge die Flüchtlingseigenschaft des Beschwerde- führers zu Recht verneint und sein Asylgesuch folgerichtig abgelehnt.</w:t>
      </w:r>
    </w:p>
    <w:p>
      <w:r>
        <w:rPr>
          <w:b/>
        </w:rPr>
        <w:t>E. 6</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Wegweisung wurde demnach ebenfalls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Nach Art. 83 Abs. 3 AIG ist der Vollzug nicht zulässig, wenn völker- rechtliche Verpflichtungen der Schweiz einer Weiterreise der Ausländerin oder des Ausländers in den Heimat-, Herkunfts- oder einen Drittstaat ent- gegenstehen.</w:t>
      </w:r>
    </w:p>
    <w:p>
      <w:r>
        <w:rPr>
          <w:b/>
        </w:rPr>
        <w:t>E. 7.2.1</w:t>
      </w:r>
    </w:p>
    <w:p>
      <w:r>
        <w:t>Da der Beschwerdeführer die Flüchtlingseigenschaft nicht erfüllt, ist – wie vom SEM zutreffend festgehalten – das flüchtlingsrechtliche Rück- schiebungsverbot von Art. 33 Abs. 1 des Abkommens vom 28. Juli 1951 über die Rechtsstellung der Flüchtlinge (FK, SR 0.142.30) und Art. 5 AsylG nicht anwendbar. Die Zulässigkeit des Vollzugs der Wegweisung beurteilt sich vielmehr nach den allgemeinen verfassungs- und völkerrechtlichen Bestimmungen (Art. 25 Abs. 3 BV; Art. 3 des Übereinkommens vom</w:t>
      </w:r>
    </w:p>
    <w:p>
      <w:r>
        <w:rPr>
          <w:b/>
        </w:rPr>
        <w:t>E. 7.2.2</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w:t>
      </w:r>
    </w:p>
    <w:p>
      <w:r>
        <w:t>D-3850/2023 Seite 11 Behandlung ausgesetzt wäre. Gemäss Praxis des Europäischen Gerichts- hofes für Menschenrechte (EGMR) sowie jener des UN-Anti-Folteraus- 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 wie vorstehend ausgeführt – nicht ge- lungen. Auch die allgemeine Menschenrechtssituation im Heimatstaat lässt den Wegweisungsvollzug zum heutigen Zeitpunkt nicht als unzulässig er- scheinen. Nach dem Gesagten ist der Vollzug der Wegweisung sowohl im Sinne der landes-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In Namibia herrscht weder Krieg oder Bürgerkrieg noch eine Situation allgemeiner Gewalt, aufgrund derer eine Rückkehr generell unzumutbar wäre (vgl. statt vieler Urteil des BVGer D-3275/2022 vom 28. September 2022 E. 5.4).</w:t>
      </w:r>
    </w:p>
    <w:p>
      <w:r>
        <w:rPr>
          <w:b/>
        </w:rPr>
        <w:t>E. 7.3.2</w:t>
      </w:r>
    </w:p>
    <w:p>
      <w:r>
        <w:t>Auch sprechen keine individuellen Gründe gegen einen Wegwei- sungsvollzug. Beim Beschwerdeführer handelt es sich um einen (…)-jähri- gen Mann, der in Namibia mit seiner [Verwandten] und (…), mit welchen er nach wie vor in Kontakt steht, auf ein tragfähiges Beziehungsnetz zurück- greifen kann (vgl. A11 F44 f., F47-49). Weiter hat er in seinem Heimatland die Schule bis zur (…) Klasse besucht und mehrere Jahre Arbeitserfahrung als (…) gesammelt (vgl. A11 F27-31), was ihm beim Aufbau einer neuen wirtschaftlichen Existenz entgegenkommen wird. Ausserdem leidet er den Akten zufolge – abgesehen von (…) – an keinen gesundheitlichen Proble- men (vgl. A1 Ziff. 5.03; A11 F10). Nach dem Gesagten erweist sich der Vollzug der Wegweisung auch als zumutbar.</w:t>
      </w:r>
    </w:p>
    <w:p>
      <w:r>
        <w:rPr>
          <w:b/>
        </w:rPr>
        <w:t>E. 7.4</w:t>
      </w:r>
    </w:p>
    <w:p>
      <w:r>
        <w:t>Schliesslich verfügt der Beschwerdeführer über einen gültigen Reise- pass (vgl. Prozessgeschichte, Bst. C.c), weshalb der Vollzug der Wegwei- sung auch als möglich zu bezeichnen ist (Art. 83 Abs. 2 AIG).</w:t>
      </w:r>
    </w:p>
    <w:p>
      <w:r>
        <w:t>D-3850/2023 Seite 12</w:t>
      </w:r>
    </w:p>
    <w:p>
      <w:r>
        <w:rPr>
          <w:b/>
        </w:rPr>
        <w:t>E. 7.5</w:t>
      </w:r>
    </w:p>
    <w:p>
      <w:r>
        <w:t>Zusammenfassend hat das SEM den Wegweisungsvollzug zu Recht als zulässig, zumutbar und möglich bezeichnet. Die Anordnung der vorläu- figen Aufnahme fällt somit ausser Betracht (Art. 83 Abs. 1–4 AIG). 8. Aus diesen Erwägungen ergibt sich, dass die angefochtene Verfügung Bundesrecht nicht verletzt und auch sonst nicht zu beanstanden ist (Art. 106 Abs. 1 AsylG und Art. 49 VwVG). Die Beschwerde ist abzuweisen. 9. Bei diesem Ausgang des Verfahrens wären die Kosten dem Beschwerde- führer aufzuerlegen (Art. 63 Abs. 1 VwVG). Er beantragt die Gewährung der unentgeltlichen Prozessführung (Art. 65 Abs. 1 VwVG). Dieses Gesuch ist gutzuheissen, da die Beschwerde nicht von vornherein aussichtslos war und aufgrund der Aktenlage von der prozessualen Bedürftigkeit des Be- schwerdeführers auszugehen ist. Es sind daher keine Verfahrenskosten zu erheben. Die Befreiung von der Bezahlung der Verfahrenskosten umfasst auch den Kostenvorschuss, wobei das Gesuch um Erlass des Kostenvor- schusses mit dem vorliegenden Direktentscheid ohnehin gegenstandslos geworden ist. (Dispositiv nächste Seite)</w:t>
      </w:r>
    </w:p>
    <w:p>
      <w:r>
        <w:t>D-3850/2023 Seite 13</w:t>
      </w:r>
    </w:p>
    <w:p>
      <w:r>
        <w:rPr>
          <w:b/>
        </w:rPr>
        <w:t>E. 8</w:t>
      </w:r>
    </w:p>
    <w:p>
      <w:r>
        <w:t>Aus diesen Erwägungen ergibt sich, dass die angefochtene Verfügung Bundesrecht nicht verletzt und auch sonst nicht zu beanstanden ist (Art. 106 Abs. 1 AsylG und Art. 49 VwVG). Die Beschwerde ist abzuweisen.</w:t>
      </w:r>
    </w:p>
    <w:p>
      <w:r>
        <w:rPr>
          <w:b/>
        </w:rPr>
        <w:t>E. 9</w:t>
      </w:r>
    </w:p>
    <w:p>
      <w:r>
        <w:t>Bei diesem Ausgang des Verfahrens wären die Kosten dem Beschwerde-führer aufzuerlegen (Art. 63 Abs. 1 VwVG). Er beantragt die Gewährung der unentgeltlichen Prozessführung (Art. 65 Abs. 1 VwVG). Dieses Gesuch ist gutzuheissen, da die Beschwerde nicht von vornherein aussichtslos war und aufgrund der Aktenlage von der prozessualen Bedürftigkeit des Beschwerdeführers auszugehen ist. Es sind daher keine Verfahrenskosten zu erheben. Die Befreiung von der Bezahlung der Verfahrenskosten umfasst auch den Kostenvorschuss, wobei das Gesuch um Erlass des Kostenvorschusses mit dem vorliegenden Direktentscheid ohnehin gegenstandslos geworden ist. (Dispositiv nächste Seite)</w:t>
      </w:r>
    </w:p>
    <w:p>
      <w:r>
        <w:rPr>
          <w:b/>
        </w:rPr>
        <w:t>E. 10</w:t>
      </w:r>
    </w:p>
    <w:p>
      <w:r>
        <w:t>Dezember 1984 gegen Folter und andere grausame, unmenschliche oder erniedrigende Behandlung oder Strafe [FoK, SR 0.105]; Art. 3 EMRK).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