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D-3849/2024 vom 16. Mai 2024</w:t>
      </w:r>
    </w:p>
    <w:p>
      <w:r>
        <w:t>Bundesverwaltungsgericht, 2024-05-16, DE</w:t>
      </w:r>
    </w:p>
    <w:p>
      <w:r>
        <w:rPr>
          <w:b/>
        </w:rPr>
        <w:t xml:space="preserve">Quelle: </w:t>
      </w:r>
      <w:r>
        <w:t>https://mcp.opencaselaw.ch/entscheid/bvger_D-3849_2024_d20240516</w:t>
      </w:r>
    </w:p>
    <w:p>
      <w:r>
        <w:t>FR: TAF D-3849/2024 du 16 mai 2024</w:t>
      </w:r>
    </w:p>
    <w:p>
      <w:r>
        <w:t>IT: TAF D-3849/2024 del 16 maggio 2024</w:t>
      </w:r>
    </w:p>
    <w:p>
      <w:pPr>
        <w:pStyle w:val="Heading2"/>
      </w:pPr>
      <w:r>
        <w:t>Regeste</w:t>
      </w:r>
    </w:p>
    <w:p>
      <w:r>
        <w:t>Asyl und Wegweisung | Asyl und Wegweisung; Verfügung des SEM vom 16. Mai 2024</w:t>
      </w:r>
    </w:p>
    <w:p>
      <w:pPr>
        <w:pStyle w:val="Heading2"/>
      </w:pPr>
      <w:r>
        <w:t>Erwägungen</w:t>
      </w:r>
    </w:p>
    <w:p>
      <w:r>
        <w:rPr>
          <w:b/>
        </w:rPr>
        <w:t>E. 5</w:t>
      </w:r>
    </w:p>
    <w:p>
      <w:r>
        <w:t>Juli 2024 um Zustellung einer Kopie der von ihr eingereichten Beschwer- deschrift ersucht, dass die Beschwerdeführenden damit um Akteneinsicht in ihre eigene Ein- gabe ersuchen, dass die Akteneinsicht unter Beachtung der Art. 26 ff. VwVG zu gewähren ist und den Beschwerdeführenden mit dem vorliegenden Urteil eine Kopie ihrer Eingabe vom 17. Juni 2024 zuzustellen ist, dass die Schweiz Flüchtlingen grundsätzlich Asyl gewährt (Art. 2 Abs. 1 AsylG), wobei Flüchtlinge Personen sind, die in ihrem Heimatstaat oder im Land, in dem sie zuletzt wohnten, wegen ihrer Rasse, Religion,</w:t>
      </w:r>
    </w:p>
    <w:p>
      <w:r>
        <w:t>D-3849/2024 Seite 5 Nationalität, Zugehörigkeit zu einer bestimmten sozialen Gruppe oder we- gen ihrer politischen Anschauungen ernsthaften Nachteilen ausgesetzt sind oder begründete Furcht haben, solchen Nachteilen ausgesetzt zu wer- den (Art. 3 Abs. 1 AsylG), dass die Flüchtlingseigenschaft nachgewiesen oder zumindest glaubhaft gemacht werden muss (Art. 7 AsylG), dass die Durchführung eines Strafverfahrens wegen eines gemeinrechtli- chen Delikts nur ausnahmsweise eine Verfolgung im asylrechtlichen Sinne darstellen kann, nämlich unter anderem dann, wenn einer Person eine ge- meinrechtliche Tat untergeschoben wird, um sie wegen ihrer äusseren oder inneren Merkmale, namentlich ihrer Rasse, Religion, Nationalität, Zu- gehörigkeit zu einer bestimmten sozialen Gruppe oder ihrer politischen An- schauungen zu verfolgen, oder wenn die Situation eines Täters, der ein gemeinrechtliches Delikt tatsächlich begangen hat, aus einem solchen Mo- tiv in bedeutender Weise erschwert wird, dass eine solche Erschwerung der Lage (sog. Politmalus) insbesondere dann anzunehmen ist, wenn deswegen eine unverhältnismässig hohe Strafe ausgefällt wird (sog. Malus im absoluten Sinne), wenn das Strafver- fahren rechtsstaatlichen Ansprüchen klarerweise nicht zu genügen vermag oder wenn der asylsuchenden Person in Form der Strafe oder im Rahmen der Strafverbüssung eine Verletzung fundamentaler Menschenrechte, ins- besondere Folter droht (vgl. BVGE 2011/10 E. 4.3 m.w.H.), dass die vorinstanzliche Verfügung in ihren Erwägungen zu bestätigen ist, namentlich die von den Beschwerdeführenden geschilderten Fluchtgründe flüchtlingsrechtlich nicht relevant sind und diesbezüglich auf die zutreffen- den Ausführungen der Vorinstanz in der angefochtenen Verfügung zu ver- weisen ist, dass sich die Beschwerdeführenden in ihrer Rechtsmitteleingabe im Kern darauf beschränken – wie bereits im erstinstanzlichen Verfahren – die Un- schuld der Beschwerdeführerin zu beteuern, und sich ihre Ausführungen weitestgehend auf die strafrechtliche Würdigung der peruanischen Ge- richtsbehörden beschränken, dass damit nichts vorgebracht wird, was geeignet wäre, die mangelnde Asylrelevanz ihrer Vorbringen aufzuwiegen, dass die Beschwerdeführenden auch auf Beschwerdeebene nicht über- zeugend darzulegen vermögen, das peruanische Strafverfahren der Be- schwerdeführerin sei politisch motiviert gewesen, zumal die behauptete</w:t>
      </w:r>
    </w:p>
    <w:p>
      <w:r>
        <w:t>D-3849/2024 Seite 6 Einflussnahme des Bürgermeisters kaum plausibel ist, nachdem gegen diesen mittlerweile ebenfalls ein Strafverfahren eröffnet wurde (vgl. A35/ F43), dass ebenso wenig Hinweise darauf bestehen, das Strafverfahren ver- möge den grundlegenden Ansprüchen an ein rechtstaatskonformes Ver- fahren nicht zu genügen, dass die Abklärungen der Schweizerischen Botschaft in Lima diese Ein- schätzung bestätigen (vgl. A50/9), zumal der diesbezügliche Bericht ent- gegen der Beschwerdeschrift keine Veranlassung zur Beanstandung gibt, dass in der angefochtenen Verfügung denn auch überzeugend dargelegt wird, die Strafe, zu welcher die Beschwerdeführerin verurteilt wurde, sei nicht unverhältnismässig (vgl. A77/28 S.7), was in der Beschwerde denn auch nicht bestritten wird, dass es sich bei dem in der Rechtsmitteleingabe wiederholten Vorbringen, die peruanischen Justizbehörden hätten von der Beschwerdeführerin eine Schmiergeldzahlung verlangt, welche sie nicht geleistet habe, um eine un- belegte Parteibehauptung handelt, dass die auf Beschwerdeebene zu den Akten gereichten Schreiben von Verwandten der Beschwerdeführenden (vgl. Beschwerdebeilage 3 und 4) an dieser Einschätzung nichts zu ändern vermögen, zumal sie als reine Gefälligkeitsschreiben zu qualifizieren sind, dass für den auf Beschwerdeebene als Fotografie eingereichten angebli- chen Drohbrief gleiches gilt, zumal mangels Vorliegens im Original kaum von dessen Authentizität auszugehen ist, dass zusammengefasst davon auszugehen ist, dass allfällige staatliche Massnahmen rechtsstaatlich legitimen Zwecken dienen, weswegen sie keine flüchtlingsrechtlich relevante Verfolgung darstellen, dass es den Beschwerdeführenden somit nicht gelingt, die Flüchtlings- eigenschaft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w:t>
      </w:r>
    </w:p>
    <w:p>
      <w:r>
        <w:t>D-3849/2024 Seite 7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die in diesem Zusammenhang in der Rechtsmitteleingabe pauschal geäusserte Vermutung, die Haftbedingungen für Frauen in peruanischen Haftanstalten könnten menschenrechtsverletzend sein, an dieser Ein- schätzung nichts zu ändern vermag, zumal sie gänzlich unsubstantiiert ist, dass der Vollzug der Wegweisung auch als zumutbar zu erkennen ist (Art. 83 Abs. 4 AIG), da weder die allgemeine Lage in der Heimat der Be- schwerdeführenden (vgl. Urteil des BVGer D-5088/2024 vom 29. August 2024) noch individuelle Gründe – insbesondere auch unter Berücksichti- gung des Wohls des minderjährigen Beschwerdeführers respektive das seiner pflegebedürftigen volljährigen Schwester – auf eine konkrete Ge- fährdung im Falle ihrer Rückkehr schliessen lassen, dass diesbezüglich vollumfänglich auf die zutreffenden Erwägungen der Vorinstanz zu verweisen ist, die in der Beschwerde denn auch nicht sub- stantiiert bestritten werden, dass wie bereits hiervor festgestellt, dem auf Beschwerdeebene zu den Akten gereichten Schreiben der Verwandten der Beschwerdeführenden sowie jenem der Klassenlehrer des minderjährigen Beschwerdeführers kaum Beweiswert zukommt, dass es den Beschwerdeführenden obliegt, sich die für ihre Rückkehr al- lenfalls benötigten Reisedokumente zu beschaffen (Art. 8 Abs. 4 AsylG; vgl. BVGE 2008/34 E. 12), weshalb der Vollzug der Wegweisung auch als möglich zu bezeichnen ist,</w:t>
      </w:r>
    </w:p>
    <w:p>
      <w:r>
        <w:t>D-3849/2024 Seite 8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D-3849/2024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