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D-3849/2014 vom 22. Mai 2015</w:t>
      </w:r>
    </w:p>
    <w:p>
      <w:r>
        <w:t>Bundesverwaltungsgericht, 2015-05-22, DE</w:t>
      </w:r>
    </w:p>
    <w:p>
      <w:r>
        <w:rPr>
          <w:b/>
        </w:rPr>
        <w:t xml:space="preserve">Quelle: </w:t>
      </w:r>
      <w:r>
        <w:t>https://mcp.opencaselaw.ch/entscheid/bvger_D-3849_2014</w:t>
      </w:r>
    </w:p>
    <w:p>
      <w:r>
        <w:t>FR: TAF D-3849/2014 du 22 mai 2015</w:t>
      </w:r>
    </w:p>
    <w:p>
      <w:r>
        <w:t>IT: TAF D-3849/2014 del 22 maggio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1.3</w:t>
      </w:r>
    </w:p>
    <w:p>
      <w:r>
        <w:t>Gemäss Absatz 1 der Übergangsbestimmungen zur Änderung vom 14. Dezember 2012 des AsylG gilt für die im Zeitpunkt des Inkrafttretens der Änderung vom 14. Dezember 2012 dieses Gesetzes hängigen Verfahren mit Ausnahme der Absätze 2-4 das neue Recht.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ihrer Beschwerde vom 10. Juli 2014 machen die Beschwerdeführenden im Wesentlichen geltend, die Polizei habe im Zusammenhang mit den Gezi-Park-Ausschreitungen entdeckt, dass in ihrem Quartier hauptsächlich H._______ und I._______ lebten; viele Quartierbewohner hätten die Demonstrationen im Gezi-Park unterstützt, weshalb die Polizei in der Folge Banden im Quartier gefördert und ihnen Drogen abgegeben habe. Aus dieser Situation hätten sich die Probleme der Beschwerdeführerinnen ergeben, zumal die Männer, welche sie belästigt und bedroht hätten, manchmal unter Drogeneinfluss gestanden hätten und alkoholisiert gewesen seien. So etwa hätten sie der Beschwerdeführerin (BF1) gesagt, sie würden sie vor der Strassenkamera bedrohen, und dies sei ein Beweis für deren Zusammenarbeit mit der Polizei. Deswegen habe die Beschwerdeführerin auf eine Anzeige gegen die Bandenmitglieder verzichtet. Denn es sei eine bekannte Tatsache, dass in solchen Fällen nicht der Täter, sondern das Opfer verhaftet werde. Dies sei die türkische Realität. Dementsprechend sei es nicht nachvollziehbar, dass die Vorinstanz die Vorbringen der Beschwerdeführerin nicht für glaubhaft halte. Es sei davon auszugehen, dass sich die Polizei aufgrund der Auswertung der Videoaufzeichnungen dafür entschieden habe, auch die Beschwerdeführerin festzunehmen.</w:t>
      </w:r>
    </w:p>
    <w:p>
      <w:r>
        <w:rPr>
          <w:b/>
        </w:rPr>
        <w:t>E. 5.2</w:t>
      </w:r>
    </w:p>
    <w:p>
      <w:r>
        <w:t>Die Vorbringen in der Beschwerdeschrift vermögen nicht zu einer veränderten Betrachtungsweise zu führen, weil sie als wirklichkeitsfremd erscheinen. So ist nicht davon auszugehen, die Quartierpolizei wisse nicht schon seit jeher Bescheid über die Zusammensetzung der Bevölkerung im Quartier. Noch viel weniger ist anzunehmen, Delinquenten kämen auf die Idee, den Opfern Informationen anzuvertrauen, deren Geheimhaltung für die Täter von grossem Vorteil wäre oder ihre Straftaten an Örtlichkeiten zu begehen, die von Überwachungskameras erfasst werden, um auf diese Weise bei den Opfern den Eindruck zu erwecken, sie - die Täter - stünden unter dem besonderen Schutz der Polizei. Die entsprechenden Vorbringen vermögen jedenfalls den Verzicht der Beschwerdeführerin (BF1) auf die Inanspruchnahme des Schutzes von Polizei und Justiz in der Türkei nicht plausibel erscheinen zu lassen. Allem voran aber ist davon auszugehen, dass die in der Türkei anwaltlich vertretene Beschwerdeführerin Gerichtsakten beschaffen könnte, wenn solche existierten. Bezeichnenderweise sind derartige Beweismittel bislang nicht eingetroffen. Stattdessen liess die Beschwerdeführerin eine Bestätigung vom 4. August 2014 eines Bekannten zu den Akten reichen, wonach dieser von der Beschwerdeführerin zeitweise versteckt worden sei. Selbst wenn dies zuträfe, wäre dies asylrechtlich unerheblich, weil der Bekannte nach eigenen Angaben niemanden denunziert hat, die türkische Polizei bei der Hausdurchsuchung nichts Belastendes gefunden hat und die Kinder der Beschwerdeführerin, obwohl sie der Bestätigung zufolge durch die Polizei unter Druck gesetzt und bedroht worden seien, hierüber nichts berichteten. Die Beschwerdeführenden können nach dem Gesagten aus der Bestätigung vom 4. August 2014 nichts zu ihren Gunsten ableiten. Schliesslich hätte die Beschwerdeführerin mit ihren Kindern wohl kaum auf dem Luftweg ausreisen können, wenn die türkischen Behörden nach ihr fahnden würden. Bei dieser Sachlage erübrigt es sich, auf weitere Vorbringen und Beweismittel näher einzugehen. Stattdessen kann auf die zutreffenden Erwägungen in der angefochtenen Verfügung verwiesen werden.</w:t>
      </w:r>
    </w:p>
    <w:p>
      <w:r>
        <w:rPr>
          <w:b/>
        </w:rPr>
        <w:t>E. 5.3</w:t>
      </w:r>
    </w:p>
    <w:p>
      <w:r>
        <w:t>Zusammenfassend ist festzuhalten, dass die Asylvorbringen der Beschwerdeführenden den Anforderungen an das Glaubhaftmachen im Sinne von Art. 7 AsylG nicht genügen. Das BFM hat demzufolge die Asylgesuche der Beschwerdeführenden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6.3</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6.4</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6.5</w:t>
      </w:r>
    </w:p>
    <w:p>
      <w:r>
        <w:t>Die Vorinstanz wies in ihrer angefochtenen Verfügung zutreffend darauf hin, dass das Prinzip des flüchtlingsrechtlichen Non-Refoulements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die Türkei ist demnach unter dem Aspekt von Art. 5 AsylG rechtmässig. Sodann ergeben sich weder aus den Aussagen der Beschwerdeführen-den noch aus den Akten Anhaltspunkte dafür, dass sie für den Fall einer Ausschaffung in die Türkei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6.6</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6.6.1</w:t>
      </w:r>
    </w:p>
    <w:p>
      <w:r>
        <w:t>Angesichts der heutigen Lage in der Türkei kann nicht von einer Situation allgemeiner Gewalt oder von kriegerischen oder bürgerkriegsähnlichen Verhältnissen gesprochen werden, welche für die Beschwerdeführenden bei einer Rückkehr eine konkrete Gefährdung darstellen würden.</w:t>
      </w:r>
    </w:p>
    <w:p>
      <w:r>
        <w:rPr>
          <w:b/>
        </w:rPr>
        <w:t>E. 6.6.2</w:t>
      </w:r>
    </w:p>
    <w:p>
      <w:r>
        <w:t>Einer Rückkehr der Beschwerdeführenden stehen auch keine überwiegenden individuellen Gründe wirtschaftlicher, sozialer oder gesundheitlicher Natur entgegen. Namentlich verfügen die Beschwerdeführenden im Heimatstaat über ein intaktes Beziehungsnetz in D._______ und G._______ (A7/10 Ziff. 3.01 S. 5), weshalb sie nicht mit einer existenziellen Notlage zu rechnen brauchen, dies umso weniger, als die Beschwerdeführerin (BF1) die Möglichkeit hat, derselben Beschäftigung wie vor ihrer Emigration aus dem Heimatstaat nachzugehen und ihren Lebensunterhalt als Buchhalterin (A5/14 Ziff. 1.17.04 S. 4) zu verdienen. Des Weiteren steht ihr in D._______ unbestrittenermassen eine Wohnmöglichkeit zur Verfügung. Sind von einem allfälligen Wegweisungsvollzug Kinder betroffen, so bildet im Rahmen der Zumutbarkeitsprüfung das Kindeswohl einen Gesichtspunkt von gewichtiger Bedeutung. Dies ergibt sich nicht zuletzt aus einer völkerrechtskonformen Auslegung von Art. 83 Abs. 4 AuG im Licht von Art. 3 Abs. 1 der Konvention vom 20. November 1989 über die Rechte des Kindes (KRK, SR 0.107). Die beiden Kinder der Beschwerdeführerin befinden sich indessen erst seit fast einem Jahr in der Schweiz, so dass sie hier noch nicht als derart verwurzelt gelten können, dass von einer Rückschaffung in den Heimatstaat abzusehen wäre. Ferner können die medizinischen Probleme des Beschwerdeführers (BF3) auch in der Türkei behandelt werden. Nötigenfalls kann er deswegen Rückkehrhilfe beantragen.</w:t>
      </w:r>
    </w:p>
    <w:p>
      <w:r>
        <w:rPr>
          <w:b/>
        </w:rPr>
        <w:t>E. 6.6.3</w:t>
      </w:r>
    </w:p>
    <w:p>
      <w:r>
        <w:t>Nach dem Gesagten erweist sich der Vollzug der Wegweisung auch als zumutbar.</w:t>
      </w:r>
    </w:p>
    <w:p>
      <w:r>
        <w:rPr>
          <w:b/>
        </w:rPr>
        <w:t>E. 6.7</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6.8</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