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D-3845/2024 vom 16. Mai 2024</w:t>
      </w:r>
    </w:p>
    <w:p>
      <w:r>
        <w:t>Bundesverwaltungsgericht, 2024-05-16, DE</w:t>
      </w:r>
    </w:p>
    <w:p>
      <w:r>
        <w:rPr>
          <w:b/>
        </w:rPr>
        <w:t xml:space="preserve">Quelle: </w:t>
      </w:r>
      <w:r>
        <w:t>https://mcp.opencaselaw.ch/entscheid/bvger_D-3845_2024_d20240516</w:t>
      </w:r>
    </w:p>
    <w:p>
      <w:r>
        <w:t>FR: TAF D-3845/2024 du 16 mai 2024</w:t>
      </w:r>
    </w:p>
    <w:p>
      <w:r>
        <w:t>IT: TAF D-3845/2024 del 16 maggio 2024</w:t>
      </w:r>
    </w:p>
    <w:p>
      <w:pPr>
        <w:pStyle w:val="Heading2"/>
      </w:pPr>
      <w:r>
        <w:t>Regeste</w:t>
      </w:r>
    </w:p>
    <w:p>
      <w:r>
        <w:t>Asyl und Wegweisung | Asyl und Wegweisung; Verfügung des SEM vom 16. Mai 2024</w:t>
      </w:r>
    </w:p>
    <w:p>
      <w:pPr>
        <w:pStyle w:val="Heading2"/>
      </w:pPr>
      <w:r>
        <w:t>Volltext</w:t>
      </w:r>
    </w:p>
    <w:p>
      <w:r>
        <w:t>Bundesverwal tungsgeri cht T ri bunal admi ni strati f fédéral T ri bunal e amm ini strati vo federal e T ri bunal admi ni strati v federal</w:t>
      </w:r>
    </w:p>
    <w:p>
      <w:r>
        <w:t>Abteilung IV D-3845/2024</w:t>
      </w:r>
    </w:p>
    <w:p>
      <w:r>
        <w:t>U r t e i l v o m 1 0 . F e b r u a r 2 0 2 5 Besetzung Einzelrichter Simon Thurnheer, mit Zustimmung von Richter Daniele Cattaneo; Gerichtsschreiberin Leslie Werne. Parteien A._______, geboren am (…), Peru, vertreten durch Marek Wieruszewski, (…), Beschwerdeführer,</w:t>
      </w:r>
    </w:p>
    <w:p>
      <w:r>
        <w:t>gegen Staatssekretariat für Migration (SEM), Quellenweg 6, 3003 Bern, Vorinstanz. Gegenstand Asyl und Wegweisung; Verfügung des SEM vom 16. Mai 2024.</w:t>
      </w:r>
    </w:p>
    <w:p>
      <w:r>
        <w:t>D-3845/2024 Seite 2 Das Bundesverwaltungsgericht stellt fest, dass der Beschwerdeführer am 13. Oktober 2021 gemeinsam mit seiner Mutter sowie seinen Geschwistern (deren Verfahren ebenfalls am Bundes- verwaltungsgericht hängig ist [Geschäftsnummer D-3849/2024]), in der Schweiz um Asyl nachsuchte, dass der Beschwerdeführer am 29. Oktober 2021 zu seinen Gesuchsgrün- den angehört wurde, dass er geltend machte, er sei peruanischer Staatsangehöriger und habe vor seiner Ausreise in B._______ gelebt, dass er zur Begründung des Asylgesuchs im Wesentlichen geltend machte, er sei im Heimatstaat durch ihm unbekannte Personen bedroht worden, da diese seiner Mutter hätten habhaft werden wollen, dass die Vorinstanz mit Verfügung vom 16. Mai 2024 – eröffnet am 21. Mai 2024 – die Flüchtlingseigenschaft des Beschwerdeführers verneinte, sein Asylgesuch ablehnte und die Wegweisung aus der Schweiz sowie den Voll- zug anordnete, dass der Beschwerdeführer sowie seine Mutter und Geschwister (Ge- schäftsnummer D-3849/2024) mit gemeinsamer Eingabe vom 17. Juni 2024 gegen diese Verfügung Beschwerde beim Bundesverwaltungsgericht erhoben und beantragten, die angefochtene Verfügung sei aufzuheben und seine Flüchtlingseigenschaft anzuerkennen, dass er im Fliesstext der Beschwerde zudem sinngemäss um Asylgewäh- rung ersuchte, dass (eventualiter) festzustellen sei, der Vollzug der Wegweisung sei un- zumutbar, und die vorläufige Aufnahme anzuordnen, dass er in verfahrensrechtlicher Hinsicht (ebenfalls im Fliesstext der Be- schwerde) um Gewährung der unentgeltlichen Prozessführung (inkl. Ver- zicht auf die Erhebung eines Kostenvorschusses) und um Bestellung eines amtlichen Rechtsbeistands ersuchte, dass der Beschwerde unter anderem ein undatiertes, nicht unterzeichne- tes, maschinell erstelltes Schreiben des Beschwerdeführers und ein Schreiben seiner Tante vom 13. Mai 2024 beilagen,</w:t>
      </w:r>
    </w:p>
    <w:p>
      <w:r>
        <w:t>D-3845/2024 Seite 3 dass er durch seine Rechtsvertretung mit Eingabe vom 24. Juni 2024 unter anderem eine Fotografie eines undatierten handschriftlichen Dokuments zu den Akten reichen liess, dass seine Rechtsvertretung mit Eingabe vom 5. Juli 2024 an das Gericht gelangte und darum ersuchte, ihr eine Kopie der Beschwerde vom 17. Juni 2024 zukommen zu lassen,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der Beschwerdeführer mit Eingabe vom 5. Juli 2024 um Zustellung einer Kopie der eingereichten Beschwerdeschrift ersucht und er damit Ein- sicht in seine eigenen Eingaben verlangt, dass die Akteneinsicht unter Beachtung der Art. 26 ff. VwVG zu gewähren ist und dem Beschwerdeführer mit dem vorliegenden Urteil eine Kopie sei- ner Eingabe vom 17. Juni 2024 zuzustellen ist,</w:t>
      </w:r>
    </w:p>
    <w:p>
      <w:r>
        <w:t>D-3845/2024 Seite 4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vorinstanzliche Verfügung in ihren Erwägungen zu bestätigen ist, namentlich die geschilderten Fluchtgründe flüchtlingsrechtlich nicht rele- vant sind und diesbezüglich auf die zutreffenden Ausführungen der Vor- instanz in der angefochtenen Verfügung zu verweisen ist, dass sich der Beschwerdeführer in seiner Rechtsmitteleingabe im Kern da- rauf beschränkt seine im erstinstanzlichen Verfahren bereits vorgebrachten Befürchtungen zu wiederholen und damit nichts vorgebracht wird, was ge- eignet wäre, die mangelnde Asylrelevanz seiner Vorbringen aufzuwiegen, dass eine Verfolgung durch nichtstaatliche Dritte – wie sie der Beschwer- deführer geltend macht – aufgrund der Subsidiarität des flüchtlingsrechtli- chen Schutzes nur dann flüchtlingsrechtlich relevant ist, wenn die be- 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peruanischen Strafverfol- gungs- und Justizbehörden ausgeht (vgl. Urteil des Bundesverwaltungs- gerichts E-2254/2024 vom 13. Juni 2024 E. 7.1.), dass das pauschal behauptete Untätigbleiben der heimatlichen Behörden, nachdem der Beschwerdeführer sich einmalig an diese gewandt habe, an dieser Einschätzung nichts zu ändern vermag, zumal dieses – bei</w:t>
      </w:r>
    </w:p>
    <w:p>
      <w:r>
        <w:t>D-3845/2024 Seite 5 Wahrunterstellung – gemäss dem Beschwerdeführer seiner damaligen Minderjährigkeit geschuldet war (vgl. A16/9 F29), dass ohnehin keine Garantie für einen langfristigen individuellen Schutz vor nichtstaatlicher Verfolgung verlangt werden kann, gelingt es doch kei- nem Staat, jederzeit und überall die absolute Sicherheit seiner Bürgerinnen und Bürger zu gewährleisten (vgl. Urteil des Bundesverwaltungsgerichts D-2738/2024 vom 20. August 2024 m.w.H.), dass dem Beschwerdeführer, sofern die ihn angeblich bedrohenden Per- sonen nach seiner jahrelangen Landesabwesenheit überhaupt noch ein In- teresse an seiner Person haben sollten, auch zuzumuten ist, im Bedarfsfall den Schutz seines Heimatstaates vor nichtstaatlicher Verfolgung auszu- schöpfen, dass das auf Beschwerdeebene zu den Akten gereichte Schreiben seiner Verwandten (vgl. Beschwerdebeilage 4) an dieser Einschätzung nichts zu ändern vermag, zumal dieses als reines Gefälligkeitsschreiben zu qualifi- zieren ist, dass für den auf Beschwerdeebene als Fotografie eingereichten angebli- chen Drohbrief gleiches gilt, zumal mangels Vorliegen im Original kaum von dessen Authentizität auszugehen ist,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w:t>
      </w:r>
    </w:p>
    <w:p>
      <w:r>
        <w:t>D-3845/2024 Seite 6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(vgl. Urteil des BVGer D-5088/2024 vom 29. August 2024) noch individuelle Gründe auf eine konkrete Gefährdung im Falle sei- ner Rückkehr schliessen lassen, dass diesbezüglich vollumfänglich auf die zutreffenden Erwägungen der Vorinstanz zu verweisen ist, denen in der Beschwerde nichts Substantiel- les entgegengesetzt wird,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w:t>
      </w:r>
    </w:p>
    <w:p>
      <w:r>
        <w:t>D-3845/2024 Seite 7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D-3845/2024 Seite 8 Demnach erkennt das Bundesverwaltungsgericht: 1. Die Beschwerde wird abgewiesen. 2. Eine Kopie der Beschwerdeeingabe vom 17. Juni 2024 wird dem Beschwerdeführer mit diesem Urteil zugestellt. 3. Die Gesuche um Gewährung der unentgeltlichen Prozessführung und amt- lichen Rechtsverbeiständung werden abgewiesen. 4. Die Verfahrenskosten von Fr. 750.– werden dem Beschwerdeführer aufer- legt. Dieser Betrag ist innert 30 Tagen ab Versand des Urteils zugunsten der Gerichtskasse zu überweisen. 5.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