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D-383/2020 vom 7. Mai 2020</w:t>
      </w:r>
    </w:p>
    <w:p>
      <w:r>
        <w:t>Bundesverwaltungsgericht, 2020-05-07, DE</w:t>
      </w:r>
    </w:p>
    <w:p>
      <w:r>
        <w:rPr>
          <w:b/>
        </w:rPr>
        <w:t xml:space="preserve">Quelle: </w:t>
      </w:r>
      <w:r>
        <w:t>https://mcp.opencaselaw.ch/entscheid/bvger_D-383_2020</w:t>
      </w:r>
    </w:p>
    <w:p>
      <w:r>
        <w:t>FR: TAF D-383/2020 du 7 mai 2020</w:t>
      </w:r>
    </w:p>
    <w:p>
      <w:r>
        <w:t>IT: TAF D-383/2020 del 7 maggio 2020</w:t>
      </w:r>
    </w:p>
    <w:p>
      <w:pPr>
        <w:pStyle w:val="Heading2"/>
      </w:pPr>
      <w:r>
        <w:t>Regeste</w:t>
      </w:r>
    </w:p>
    <w:p>
      <w:r>
        <w:t>Nichteintreten auf Asylgesuch (erneutes Asylverfahren Schweiz) und Wegweisung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vorbehältlich nachfolgender Einschränkungen, einzutreten.</w:t>
      </w:r>
    </w:p>
    <w:p>
      <w:r>
        <w:rPr>
          <w:b/>
        </w:rPr>
        <w:t>E. 3</w:t>
      </w:r>
    </w:p>
    <w:p>
      <w:r>
        <w:t>Prüfungsgegenstand ist vorliegend die Frage, ob die Vorinstanz zu Recht auf das dritte Asylgesuch des Beschwerdeführers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Auf den Antrag betreffend Gewährung von Asyl unter Zuerkennung der Flüchtlingseigenschaft ist daher nicht einzutreten. Die Frage der Rechtmässigkeit der verfügten Wegweisung und des angeordneten Wegweisungsvollzugs wird jedoch materiell geprüft. Da der Beschwerde von Gesetzes wegen die aufschiebende Wirkung zukommt (vgl. Art. 42 AsylG) ist auf den Antrag in der Beschwerde, es sei die aufschiebende Wirkung zu erteilen, nicht einzutreten.</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Die Beschwerde erschien zwar im Zeitpunkt der Einreichung nicht als aussichtslos, erweist sich jedoch als offensichtlich unbegründet. Sie wird daher in einzelrichterlicher Zuständigkeit gemäss Art. 111 Bst. e AsylG mit Zustimmung einer zweiten Richterin behandelt und gestützt auf Art. 111a Abs. 2 AsylG summarisch begründet. Gestützt auf Art. 111a Abs. 1 AsylG wurde auf einen Schriftenwechsel verzichtet.</w:t>
      </w:r>
    </w:p>
    <w:p>
      <w:r>
        <w:rPr>
          <w:b/>
        </w:rPr>
        <w:t>E. 6</w:t>
      </w:r>
    </w:p>
    <w:p>
      <w:r>
        <w:t>Die in der Beschwerde erhobenen formellen Rügen sind vorab zu beurteilen.</w:t>
      </w:r>
    </w:p>
    <w:p>
      <w:r>
        <w:rPr>
          <w:b/>
        </w:rPr>
        <w:t>E. 6.1</w:t>
      </w:r>
    </w:p>
    <w:p>
      <w:r>
        <w:t>Der Beschwerdeführer rügt, das SEM sei willkürlich und in Missachtung des Rechtsgleichheitsgebots nach Art. 9 beziehungsweise 8 BV auf sein Mehrfachgesuch nicht eingetreten, da es in analogen Fällen, so in N (...) (recte: N [...]) eine materielle Prüfung vorgenommen habe (vgl. Beschwerde BS 4).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Dabei muss die angeblich willkürliche Begründung rechtsgenüglich bezeichnet werden (vgl. BGE 116 Ia 426 S. 428, m.w.H). Das SEM hat in seiner Verfügung (vgl. dort E. IV) einlässlich dargelegt, weshalb auf das Mehrfachgesuch nicht einzutreten sei. Dabei hat es nach Verweisung auf die zahlreich ergangenen Entscheide und Urteile in den vorangegangenen Asylverfahren und insbesondere der Feststellung eines beim Beschwerdeführer nicht bestehenden Risikoprofils die nicht gehörige Begründung der neuen Asylgründe erkannt und das Nichteintreten auf Art. 111c Abs. 1 AsylG i.V.m. Art. 13 Abs. 2 VwVG abgestützt. In der Praxis ist ein Nichteintreten auf ein nicht gehörig begründetes Mehrfachgesuch ausdrücklich vorgesehen und wird durch die Rechtsprechung geschützt (BVGE 2014/39 E. 7). Die Bezugnahme auf angebliche andere analoge Fälle vermag daran nichts zu ändern. Tatsächlich wird nur ein einziger Fall angeführt. Bei der betreffenden (vom Beschwerdeführer anonymisiert beigelegten) Verfügung ist zudem die Analogie zur vorliegend angefochtenen Verfügung schon deshalb augenfällig zu verneinen, weil der Beschwerdeführer im Gegensatz zum angeblich analogen Fall einen bedeutsamen LTTE-Konnex oder ein erhebliches Risikoprofil schon gar nicht hat glaubhaft machen können. Eine Verletzung des Willkürverbots sowie des Gleichheitsgebots ist mithin nicht ersichtlich.</w:t>
      </w:r>
    </w:p>
    <w:p>
      <w:r>
        <w:rPr>
          <w:b/>
        </w:rPr>
        <w:t>E. 6.2</w:t>
      </w:r>
    </w:p>
    <w:p>
      <w:r>
        <w:t>Aufgrund dieser Erwägungen ist auch die Rüge abzuweisen, dass die Vorinstanz in Missachtung der Art. 12 und 29 VwVG mit dem Nichteintretensentscheid den rechtserheblichen Sachverhalt mangelhaft erstellt sowie das rechtliche Gehör des Beschwerdeführers und die Begründungspflicht verletzt habe (vgl. Beschwerde BS 5). Die Verfügung des SEM enthält - im angemessenen Rahmen der Begründung eines Nichteintretensentscheids, in welchem gerade keine materielle Prüfung stattfinden soll - eine Darstellung des Sachverhalts, die offensichtlich genügend ist, um nachvollziehen zu können, weshalb das SEM die neuen Asylgründe im Einzelfall als nicht genügend individualisiert erachtete. Der Beschwerdeführer verkennt offensichtlich, dass der Verzicht auf eine materielle Prüfung von Asylvorbringen die rechtslogische Folge des vorliegenden Nichteintretens ist, wogegen umgekehrt eine materielle Prüfung nie ein Nichteintreten zur Folge haben könnte.</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(vgl. Art. 3 AsylG). Wer um Asyl nachsucht, muss die Flüchtlingseigenschaft nachweisen oder zumindest glaubhaft machen. (vgl. Art. 7 AsylG). Bei Asylgesuchen, die innert fünf Jahren nach Eintritt der Rechtskraft des Asyl- und Wegweisungsentscheides eingereicht werden, hat die Eingabe schriftlich und begründet zu erfolgen (Art. 111c Abs. 1 AsylG). Nach Art. 13 Abs. 2 VwVG braucht die Behörde auf Begehren einer Partei, die ihr Verfahren selber einleitet, nicht einzutreten, wenn die Partei die notwendige und zumutbare Mitwirkung verweigert.</w:t>
      </w:r>
    </w:p>
    <w:p>
      <w:r>
        <w:rPr>
          <w:b/>
        </w:rPr>
        <w:t>E. 7.2</w:t>
      </w:r>
    </w:p>
    <w:p>
      <w:r>
        <w:t>Lehnt das SEM das Asylgesuch ab oder tritt es darauf nicht ein, so verfügt es in der Regel die Wegweisung aus der Schweiz und ordnet den Vollzug an (Art. 44 AsylG).</w:t>
      </w:r>
    </w:p>
    <w:p>
      <w:r>
        <w:rPr>
          <w:b/>
        </w:rPr>
        <w:t>E. 7.3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 Wegweisungsvollzugshindernisse sind zu beweisen, wenn der strikte Beweis möglich ist, und andernfalls wenigstens glaubhaft zu machen (vgl. BVGE 2011/24 E. 10.2 m.w.H.).</w:t>
      </w:r>
    </w:p>
    <w:p>
      <w:r>
        <w:rPr>
          <w:b/>
        </w:rPr>
        <w:t>E. 8.1</w:t>
      </w:r>
    </w:p>
    <w:p>
      <w:r>
        <w:t>Zur Begründung des Nichteintretens verwies das SEM zunächst auf die ergangenen Entscheide und Urteile in den vorangegangenen Asylverfahren und insbesondere das Fehlen eines beim Beschwerdeführer bestehenden Risikoprofils. Die für den Zeitraum danach geltend gemachten Asylvorbringen im Rahmen des dritten Asylgesuchs seien nicht gehörig begründet worden. Die behauptete, mit verschiedenen Medienartikeln dokumentierte Änderung der politischen Verhältnisse und der allgemeinen Lage seit November 2019 vermöge der Beschwerdeführer in keinen Bezug zu ihm selber zu setzen und daraus eine persönliche Verfolgungslage abzuleiten. Es reiche nicht aus, pauschal auf neuere politische Entwicklungen und mögliche Zukunftsszenarien zu verweisen. Insoweit sei daher auf das Mehrfachgesuch gestützt auf Art. 111c Abs. 1 AsylG i.V.m. Art. 13 Abs. 2 VwVG nicht einzutreten. Die Wegweisung aus der Schweiz sei die gesetzliche Regelfolge des Nichteintretens. Der Vollzug der Wegweisung in den Heimatstaat sei mangels Erfüllung der Flüchtlingseigenschaft unter dem Aspekt von Art. 5 Abs. 1 AsylG und Art. 33 FK und mangels von Anhaltspunkten für eine nach Art. 3 EMRK verbotene Strafe oder Behandlung völkerrechtlich zulässig, woran auch die allgemeine Menschenrechtssituation in Sri Lanka nichts zu ändern vermöge. Der Wegweisungsvollzug sei ferner, wie bereits in zwei Urteilen des Bundesverwaltungsgerichts betreffend den Beschwerdeführer einlässlich erkannt, allgemein und individuell zumutbar. In Sri Lanka herrsche trotz den aktuellen politischen Geschehnissen keine Situation allgemeiner Gewalt. Der Vollzug der Wegweisung sei im Übrigen technisch möglich und praktisch durchführbar. Die Gebühr stütze sich schliesslich auf Art. 111d AsylG.</w:t>
      </w:r>
    </w:p>
    <w:p>
      <w:r>
        <w:rPr>
          <w:b/>
        </w:rPr>
        <w:t>E. 8.2</w:t>
      </w:r>
    </w:p>
    <w:p>
      <w:r>
        <w:t>In seiner Rechtsmitteleingabe wiederholt und bekräftigt der Beschwerdeführer zunächst seine Vorbringen gemäss seinem schriftlichen dritten Asylgesuch. Der Vorwurf einer nicht gehörigen Begründung des Mehrfachasylgesuchs verkenne sodann seine durchaus ausführlich geschilderte individuelle und politisch motivierte Gefährdungslage, welche ihn zum Verlassen seines Heimatlandes bewogen habe. Als Tamile und verdächtige, den LTTE nahestehende Person mit mehrjährigem Auslandaufenthalt sei er durch den Machtwechsel einer erheblichen Verfolgungsgefahr im Falle einer Rückkehr ausgesetzt. Dies habe er in Beachtung seiner nach Art. 8 AsylG bestehenden Mitwirkungspflicht - im Asylverfahren sei Art. 13 Abs. 2 VwVG nicht anwendbar - substanziiert und unter Beilage mehrerer Beweismittel dargetan. Aufgrund der dokumentierten, sich überschlagenden Ereignisse in Sri Lanka und der seiner Auffassung zufolge überholten Länderanalyse des SEM sei der angefochtene Nichteintretensentscheid aufzuheben. Bei der Frage der Zulässigkeit des Wegweisungsvollzuges lasse das SEM eine konkrete Beurteilung seines Falles anhand der vom Bundesverwaltungsgericht in einem Referenzurteil vorgegebenen Risikofaktoren und unter Berücksichtigung seiner Vorgeschichte vermissen. Auch die Feststellung der Zumutbarkeit des Wegweisungsvollzuges präsentiere sich pauschal und ohne individuelle Prüfung. Angesichts seiner LTTE-Verbindungen und der jüngsten Ereignisse in Sri Lanka nach der Machtübernahme habe er Anspruch zumindest auf Gewährung der vorläufigen Aufnahme. Als Beweismittel verwies der Beschwerdeführer auf verschiedene, zwischen Januar 2018 und 3. Februar 2020 entstandene Berichte von Medien, SFH und UNO.</w:t>
      </w:r>
    </w:p>
    <w:p>
      <w:r>
        <w:rPr>
          <w:b/>
        </w:rPr>
        <w:t>E. 9.1</w:t>
      </w:r>
    </w:p>
    <w:p>
      <w:r>
        <w:t>Das SEM ist nach einwandfreier Sachverhaltsfeststellung in seinen Erwägungen mit einlässlicher und überzeugender Begründung sowie korrekter Gesetzes- und Praxisabstützung zur zutreffenden Erkenntnis gelangt, auf das dritte Asylgesuch sei mangels gehöriger Begründung der neuen Asylvorbringen nicht einzutreten. Die vorinstanzlichen Erwägungen sind in keinem Punkt zu beanstanden. Es kann insoweit zur Vermeidung von Wiederholungen vorab auf die angefochtene Verfügung und deren Zusammenfassung oben (E. 7.1) verwiesen werden. Die Ausführungen in der Beschwerde führen offensichtlich zu keiner anderen Betrachtungsweise, sondern erschöpfen sich über weite Teile in Wiederholungen, Bekräftigungen und Gegenbehauptungen. Soweit sie konkret verwertbare Argumente gegen die Erwägungen des SEM beinhalten, sind sie offensichtlich nicht stichhaltig. Wie vom SEM zutreffend erkannt, fehlt eine individuelle und konkrete Bezugnahme der dargelegten allgemeinen Vorkommnisse und politischen Veränderungen zum Beschwerdeführer im Hinblick auf die Ableitung einer persönlichen Verfolgungs- und Gefährdungssituation. Diese fehlende Bezugnahme ist der Kernpunkt in der Feststellung einer nicht gehörigen Begründung des dritten Asylgesuchs. Die Beurteilung der Frage nach der (nicht) gehörigen Begründung hat das SEM zutreffend nach Massgabe von Art. 13 Abs. 2 VwVG (statt Art. 8 AsylG) vorgenommen, denn es handelt sich um ein allgemeines verwaltungsrechtliches (statt ein asylspezialgesetzliches) Kriterium. Ein Mehrfachasylgesuch kann durchaus unter Beachtung der asylrechtlichen Mitwirkungspflicht nach Art. 8 AsylG gestellt werden und sich dennoch als nicht gehörig begründet im verwaltungsrechtlichen Sinne erweisen. Der Beschwerdeführer ist auf das unter BVGE 2014/39 (mit der relevanten E. 7) publizierte Urteil des Bundesverwaltungsgerichts und im Übrigen auf die Erkenntnisse der bisherigen zwei Asylverfahren zu verweisen. Das vorliegende Ergebnis wird zudem gestützt durch das kürzlich ergangene Urteil des Bundesverwaltungsgerichts E-723/2020 vom 4. März 2020.</w:t>
      </w:r>
    </w:p>
    <w:p>
      <w:r>
        <w:rPr>
          <w:b/>
        </w:rPr>
        <w:t>E. 9.2</w:t>
      </w:r>
    </w:p>
    <w:p>
      <w:r>
        <w:t>Das SEM hat ebenso die Wegweisung des Beschwerdeführers aus der Schweiz und den Vollzug gesetzes- und praxiskonform angeordnet. Auf die entsprechenden Erwägungen und die Zusammenfassung oben (E. 7.1) kann wiederum vollumfänglich verwiesen werden. Die Beschwerde öffnet auch diesbezüglich keine andere Betrachtungsweise. Dabei ist im Besonderen festzuhalten, dass die vom Beschwerdeführer gewünschte konkrete Beurteilung seines Falles anhand der vom Bundesverwaltungsgericht in seinem Referenzurteil vorgegebenen Risikofaktoren bereits in mehreren ihn betreffenden Entscheiden des SEM und des Bundesverwaltungsgerichts erfolgt ist, unter Berücksichtigung der vorangegangenen Erkenntnis, dass der Beschwerdeführer weder eine persönliche Verfolgung noch ein besonderes Risiko- oder Gefährdungsprofil hat glaubhaft machen können. Der Eindruck einer diesbezüglich bloss pauschalen Prüfung der Vollzugsvoraussetzungen durch das SEM ist somit nur ein scheinbarer, zumal das SEM ausdrücklich auf die erwähnten Erkenntnisse aus den früheren Asylverfahren verwiesen und im Übrigen die jüngsten politischen Geschehnisse in Sri Lanka im angefochtenen Entscheid zutreffend gewürdigt hat. Die Anordnung der vorläufigen Aufnahme fällt somit ausser Betracht (Art. 83 Abs. 1-4 AIG).</w:t>
      </w:r>
    </w:p>
    <w:p>
      <w:r>
        <w:rPr>
          <w:b/>
        </w:rPr>
        <w:t>E. 9.3</w:t>
      </w:r>
    </w:p>
    <w:p>
      <w:r>
        <w:t>Zusammenfassend ist festzuhalten, dass die Vorinstanz zurecht auf das Mehrfachasylgesuch des Beschwerdeführers nicht eingetreten ist sowie dessen Wegweisung und deren Vollzug folgerichtig angeordnet hat. 10.Aus diesen Erwägungen ergibt sich, dass die angefochtene Verfügung Bundesrecht nicht verletzt, den rechtserheblichen Sachverhalt richtig sowie vollständig feststellt (Art. 106 Abs. 1 AsylG) und - soweit diesbezüglich überprüfbar - angemessen ist. Für eine Rückweisung der Sache an die Vorinstanz besteht vorliegend kein Anlass. Es erübrigt sich, auf die weiteren Inhalte der Beschwerde und die vorgelegten Beweismittel näher einzugehen, da sie am Ergebnis nichts zu ändern vermögen. Die Beschwerde ist abzuweisen, soweit auf diese einzutreten ist. 11.Bei diesem Ausgang des Verfahrens wären die Kosten dem Beschwerdeführer aufzuerlegen (Art. 63 Abs. 1 VwVG). Das mit der Beschwerde gestellte Gesuch um Gewährung der unentgeltlichen Prozessführung wurde jedoch mit Zwischenverfügung vom 24. Januar 2020 gutgeheissen. Es sind somit keine Verfahrenskosten zu erheben, zumal den Akten nicht zu entnehmen ist, dass der Beschwerdeführer zwischenzeitlich nicht mehr bedürftig wäre.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