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D-3838/2010 vom 6. Februar 2014</w:t>
      </w:r>
    </w:p>
    <w:p>
      <w:r>
        <w:t>Bundesverwaltungsgericht, 2014-02-06, DE</w:t>
      </w:r>
    </w:p>
    <w:p>
      <w:r>
        <w:rPr>
          <w:b/>
        </w:rPr>
        <w:t xml:space="preserve">Quelle: </w:t>
      </w:r>
      <w:r>
        <w:t>https://mcp.opencaselaw.ch/entscheid/bvger_D-3838_2010</w:t>
      </w:r>
    </w:p>
    <w:p>
      <w:r>
        <w:t>FR: TAF D-3838/2010 du 6 février 2014</w:t>
      </w:r>
    </w:p>
    <w:p>
      <w:r>
        <w:t>IT: TAF D-3838/2010 del 6 febbraio 2014</w:t>
      </w:r>
    </w:p>
    <w:p>
      <w:pPr>
        <w:pStyle w:val="Heading2"/>
      </w:pPr>
      <w:r>
        <w:t>Regeste</w:t>
      </w:r>
    </w:p>
    <w:p>
      <w:r>
        <w:t>Asyl und Wegweisung</w:t>
      </w:r>
    </w:p>
    <w:p>
      <w:pPr>
        <w:pStyle w:val="Heading2"/>
      </w:pPr>
      <w:r>
        <w:t>Erwägungen</w:t>
      </w:r>
    </w:p>
    <w:p>
      <w:r>
        <w:rPr>
          <w:b/>
        </w:rPr>
        <w:t>E. 2</w:t>
      </w:r>
    </w:p>
    <w:p>
      <w:r>
        <w:t>Mit Beschwerde kann die Verletzung von Bundesrecht und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4</w:t>
      </w:r>
    </w:p>
    <w:p>
      <w:r>
        <w:t>Das BFM lehnte das Asylgesuch des Beschwerdeführers mit der Begründung ab, die Vorbringen seien unglaubhaft beziehungsweise nicht asylrelevant. Nach Durchsicht der Akten kommt das Bundesverwaltungsgericht zum Schluss, dass dem BFM zuzustimmen ist.</w:t>
      </w:r>
    </w:p>
    <w:p>
      <w:r>
        <w:rPr>
          <w:b/>
        </w:rPr>
        <w:t>E. 4.1</w:t>
      </w:r>
    </w:p>
    <w:p>
      <w:r>
        <w:t>Der Beschwerdeführer konnte zwar glaubhaft geltend machen, was das BFM in tatsächlicher Hinsicht nicht bestritten hat, im Zeitraum von (...) bis Mitte (...) mehrfach inhaftiert und hierbei wiederholt, zumindest bis zum Jahr (...), von den Sicherheitskräften wegen seiner politischen Anschauung schwer misshandelt und gefoltert worden zu sein. Allerdings weisen die Festnahmen von (...) bis (...) nicht den erforderlichen engen zeitlichen Kausalzusammenhang zwischen Verfolgung und Flucht auf, da sie zu weit in der Vergangenheit liegen, weshalb sie flüchtlingsrechtlich nicht relevant sind. Die für die Ausreise entscheidenden Verfolgungsvorbringen nach der Freilassung im (...) können allerdings nicht als glaubhaft erachtet werden. So kann der behauptete Umfang der Unterschriftenpflicht von drei Mal täglich, dem der Beschwerdeführer ausgesetzt gewesen sein will, nicht den Tatsachen entsprechen. Auch erstaunt das beschriebene Ausmass der behaupteten Verfolgung durch die türkischen Sicherheitsbehörden angesichts dessen, dass der Beschwerdeführer lediglich Sympathisant der PKK gewesen sei. Nicht nachvollziehbar ist auch, wie er sich angesichts dieser behaupteten Bedrohungslage und Todesangst noch für die DTP engagieren und unbemerkt von den Sicherheitskräften Besucher zu Hause empfangen und den Bürgermeister von D._______ begleiten konnte. Realitätsfremd und übertrieben erscheint auch die Behauptung, die türkischen Sicherheitskräfte seien gleich mit Panzern vorgefahren, wenn er Besuch empfangen habe.</w:t>
      </w:r>
    </w:p>
    <w:p>
      <w:r>
        <w:rPr>
          <w:b/>
        </w:rPr>
        <w:t>E. 4.2</w:t>
      </w:r>
    </w:p>
    <w:p>
      <w:r>
        <w:t>Von Bedeutung ist das Ergebnis der Botschaftsabklärung der schweizerischen Vertretung in Ankara, wonach über den Beschwerdeführer kein Datenblatt besteht, er in der Türkei nicht gesucht wird und keine Verfahren gegen ihn hängig sind. Der Botschaftsantwort lassen sich somit weder Hinweise darauf entnehmen, dass der Beschwerdeführer vor der Ausreise Verfolgungsmassnahmen der türkischen Sicherheits- und Strafverfolgungsbehörden ausgesetzt war, noch dass er als politisch unbequeme Person registriert wurde. Es besteht kein Grund, an der Richtigkeit der Botschaftsabklärung in Ankara zu zweifeln. Anhaltspunkte dafür, dass die Abklärungen nicht mit der nötigen Sorgfalt und Diskretion erfolgt wären, lassen sich den Akten nicht entnehmen und werden auch in der Beschwerde bzw. in der Stellungnahme vom 5. Dezember 2013 nicht genannt. Damit liegt ein objektives gewichtiges Beweismittel vor, welches klar gegen die Annahme spricht, der Beschwerdeführer werde in seinem Heimatland polizeilich gesucht. Was der Beschwerdeführer dagegen in seiner Stellungnahme zum Botschaftsbericht vorbringt, das Festhalten an der Behauptung, es müsse ein Datenblatt vorliegen, ist nicht geeignet, hinreichende Anhaltspunkte für eine Bedrohung zu liefern.</w:t>
      </w:r>
    </w:p>
    <w:p>
      <w:r>
        <w:rPr>
          <w:b/>
        </w:rPr>
        <w:t>E. 4.2.1</w:t>
      </w:r>
    </w:p>
    <w:p>
      <w:r>
        <w:t>Weiter macht der Beschwerdeführer eine Reflexverfolgung geltend, da er aus einer politisch oppositionellen Familie stamme. Wie auch aus der Eingabe vom 30. September 2013 zu entnehmen sei, seien viele seiner Verwandten durch die türkischen Sicherheitskräfte ermordet beziehungsweise zu langen Haftstrafen verurteilt worden oder hätten ins Ausland fliehen müssen.</w:t>
      </w:r>
    </w:p>
    <w:p>
      <w:r>
        <w:rPr>
          <w:b/>
        </w:rPr>
        <w:t>E. 4.2.2</w:t>
      </w:r>
    </w:p>
    <w:p>
      <w:r>
        <w:t>Das Bundesverwaltungsgericht geht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Entscheidungen und Mitteilungen der Schweizerischen Asylrekurskommission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Schikanen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 halten (EMARK a.a.O. E. 10.2.3. S. 199 f., mit weiteren Hinweisen). Es muss also aufgrund der Umstände des Einzelfalls ermittelt werden, ob die Furcht vor Verfolgung begründet ist.</w:t>
      </w:r>
    </w:p>
    <w:p>
      <w:r>
        <w:rPr>
          <w:b/>
        </w:rPr>
        <w:t>E. 4.3</w:t>
      </w:r>
    </w:p>
    <w:p>
      <w:r>
        <w:t>Es ist festzuhalten, dass sich den Akten des Beschwerdeführers, einschliesslich der Eingabe vom 30. September 2009 mit der Aufstellung seines tatsächlich grossen Kreises politisch aktiver Verwandter nicht entnehmen lässt, dass in der Türkei aktuell nach einem flüchtigen Familienmitglied des Beschwerdeführers gefahndet wird. Schon deshalb dürfte kein Grund für eine Reflexverfolgung gegeben sein. Sodann ist der Argumentation des BFM in der angefochtenen Verfügung zuzustimmen, dass die geltend gemachten Verfolgungsvorbringen von 2009 im Zusammenhang mit seinem Bruder A. keinen Sinn machen, sei dieser doch bereits in den neunziger Jahren nach Deutschland gegangen.</w:t>
      </w:r>
    </w:p>
    <w:p>
      <w:r>
        <w:rPr>
          <w:b/>
        </w:rPr>
        <w:t>E. 4.4</w:t>
      </w:r>
    </w:p>
    <w:p>
      <w:r>
        <w:t>Aus dem Gesagten ergibt sich zusammenfassend, dass das BFM zu Recht zur Beurteilung gelangt ist, der Beschwerdeführer habe keine asylrelevante Verfolgung glaubhaft gemacht und erfülle somit die Flüchtlingseigenschaft im Sinne des Art. 3 AsylG nicht. Auch eine begründete Furcht vor künftiger asylrechtlich relevanter staatlicher Verfolgung ist nicht gegeben.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2009/50 E. 9).</w:t>
      </w:r>
    </w:p>
    <w:p>
      <w:r>
        <w:rPr>
          <w:b/>
        </w:rPr>
        <w:t>E. 6</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w:t>
      </w:r>
    </w:p>
    <w:p>
      <w:r>
        <w:rPr>
          <w:b/>
        </w:rPr>
        <w:t>E. 6.1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6.2.3</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6.3.3 Allerdings beobachtet das Bundesverwaltungsgericht die Situation namentlich in den Südostprovinzen der Türkei aufmerksam und hat kürzlich eine aktualiserte Beurteilung der allgemeinen Lage im Südosten der Türkei vorgenommen (vgl. BVGE 2013/2, Urteil des Bundesverwaltungsgerichts vom 15. März 2013). Demnach präsentiert sich die Sicherheitslage in gewissen Gebieten Ostanatoliens markant schlechter als in den letzten Jahren; das Gericht qualifiziert den Vollzug von Wegweisungen abgewiesener Asylsuchender in die beiden Provinzen Hakkari und Sirnak daher heute (wieder) als generell unzumutbar. 6.3.4 Dies hat zur Folge, dass bei abgewiesenen Asylsuchenden, die aus Hakkari oder Sirnak stammen, die Existenz einer individuell zumutbaren innerstaatlichen Aufenthaltsalternative zu prüfen ist (für die massgebenden Prüfkriterien vgl. weiterhin EMARK 1996 Nr. 2 E. 6.b S. 13 ff.). 6.3.5 Der Beschwerdeführer stammt aus der Provinz Sirnak und hat dort von der Geburt bis zur Ausreise gelebt, abgesehen von Haftzeiten in der Provinz E._______. Eine innerstaatliche Zufluchtsmöglichkeit für den Beschwerdeführer ist nicht ersichtlich. Zu bedenken ist, dass er aufgrund seines psychisch labilen, therapiebedürftigen Zustandes der Unterstützung bedarf, seine weitverzweigte Familie aber anscheinend ausschliesslich aus derselben Provinz wie er, nämlich Sirnak, stammt. Mangels eines entsprechenden Beziehungsnetzes in einer anderen Provinz als Aufenthaltsalternative wäre die Sicherung des wirtschaftlichen Existenzminimums somit fraglich, zumal der Beschwerdeführer nicht über eine höhere Ausbildung verfügt, die sich günstig auf die Sicherung des wirtschaftlichen Existenzminimums in einer anderen Region auswirken könnte.</w:t>
      </w:r>
    </w:p>
    <w:p>
      <w:r>
        <w:rPr>
          <w:b/>
        </w:rPr>
        <w:t>E. 7</w:t>
      </w:r>
    </w:p>
    <w:p>
      <w:r>
        <w:t>Unter Würdigung dieser Umstände gelangt das Bundesverwaltungsgericht zum Schluss, dass eine erzwungene Rückkehr den Beschwerdeführer im jetzigen Zeitpunkt in eine Situation bringen würde, die zu einer konkreten Gefährdung im Sinne des Gesetzes führen würde. Der Vollzug der Wegweisung erweist sich deshalb als unzumutbar und die angefochtene Verfügung in diesem Punkt als bundesrechtswidrig.</w:t>
      </w:r>
    </w:p>
    <w:p>
      <w:r>
        <w:rPr>
          <w:b/>
        </w:rPr>
        <w:t>E. 8</w:t>
      </w:r>
    </w:p>
    <w:p>
      <w:r>
        <w:t>Im Übrigen liegen gemäss Aktenlage keine Gründe für den Ausschluss von der vorläufigen Aufnahme gemäss Art. 83 Abs. 7 AuG vor. Somit sind die Voraussetzungen für die Gewährung der vorläufigen Aufnahme erfüllt.</w:t>
      </w:r>
    </w:p>
    <w:p>
      <w:r>
        <w:rPr>
          <w:b/>
        </w:rPr>
        <w:t>E. 9</w:t>
      </w:r>
    </w:p>
    <w:p>
      <w:r>
        <w:t>Nach dem Gesagten ist die Beschwerde, soweit den Vollzug der Wegweisung betreffend, gutzuheissen, und die Dispositivziffern 4 und 5 der vor­instanzlichen Verfügung sind aufzuheben. Im Übrigen ist die Beschwerde abzuweisen. Das BFM ist anzuweisen, den Beschwerdeführer wegen Unzumutbarkeit des Wegweisungsvollzugs vorläufig in der Schweiz aufzunehmen (vgl. Art. 83 Abs.1-4 AuG).</w:t>
      </w:r>
    </w:p>
    <w:p>
      <w:r>
        <w:rPr>
          <w:b/>
        </w:rPr>
        <w:t>E. 10</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für die Kosten-/Entschädigungsfrage ein hälftiges Obsiegen.</w:t>
      </w:r>
    </w:p>
    <w:p>
      <w:r>
        <w:rPr>
          <w:b/>
        </w:rPr>
        <w:t>E. 11</w:t>
      </w:r>
    </w:p>
    <w:p>
      <w:r>
        <w:t>Nach dem Gesagten sind die Verfahrenskosten zur Hälfte dem Beschwer­de­führer aufzuerlegen und auf insgesamt Fr. 300.­­­­- festzusetzen (Art. 1-3 des Reglements vom 21. Februar 2008 über die Kosten und Entschädigungen vor dem Bundesverwaltungsgericht [VGKE, SR 173.320.2]). Diese sind mit dem einbezahlten Kostenvorschuss in der Höhe von Fr. 600.- zu verrechnen. Der Überschuss von Fr. 300.- ist dem Beschwerdeführer durch das Bundesverwaltungsgericht zurückzuerstatten.</w:t>
      </w:r>
    </w:p>
    <w:p>
      <w:r>
        <w:rPr>
          <w:b/>
        </w:rPr>
        <w:t>E. 12</w:t>
      </w:r>
    </w:p>
    <w:p>
      <w:r>
        <w:t>Dem vertretenen Beschwerdeführer ist angesichts seines teilweisen Obsiegens (in Anwendung von Art. 64 VwVG und Art. 7 Abs. 1 VGKE) eine Entschädigung für die ihm notwendigerweise erwachsenen Parteikosten zuzusprechen. Der Rechtsvertreter des Beschwerdeführers weist in seiner Kostennote vom 30. September 2013 Kosten in Höhe von insgesamt Fr. 3700.- aus. Der geltend gemachte Stundenaufwand ist, unter Berücksichtigung der nach dem 30. September 2013 erfolgten Eingabe des Rechtsvertreters vom 5. Dezember 2013, auf zehn als angemessen zu erachtende Stunden für den Vertretungsaufwand zu kürzen und somit der Kostenaufwand auf Fr. 2000.- zu reduzieren. Die hälftige, vom BFM auszurichtende, Parteientschädigung wird damit auf Fr. 1000.- (inklusive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