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D-3837/2015 vom 27. Februar 2017</w:t>
      </w:r>
    </w:p>
    <w:p>
      <w:r>
        <w:t>Bundesverwaltungsgericht, 2017-02-27, FR</w:t>
      </w:r>
    </w:p>
    <w:p>
      <w:r>
        <w:rPr>
          <w:b/>
        </w:rPr>
        <w:t xml:space="preserve">Quelle: </w:t>
      </w:r>
      <w:r>
        <w:t>https://mcp.opencaselaw.ch/entscheid/bvger_D-3837_2015</w:t>
      </w:r>
    </w:p>
    <w:p>
      <w:r>
        <w:t>FR: TAF D-3837/2015 du 27 février 2017</w:t>
      </w:r>
    </w:p>
    <w:p>
      <w:r>
        <w:t>IT: TAF D-3837/2015 del 27 febbraio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A._______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récit de A._______ contient des contradictions importantes. S'agissant notamment des tentatives d'enlèvement sur sa personne et ses activités pour le TNA, les dates alléguées ne sont pas constantes. En particulier, dites tentatives auraient eu lieu en (...) 2012 ou presque une année plus tard, courant (...) 2013 (cf. le procès-verbal [pv] de l'audition du 24 avril 2015, p. 5 et 8). Le recourant a également allégué s'être engagé pour le TNA depuis (...) 2009 (cf. pv de l'audition du 11 septembre 2014, p. 7), ou (...) 2010 (cf. pv de l'audition du 24 avril 2015, p. 5 et 8) selon les versions. Le déroulement des tentatives d'enlèvement alléguées est décrit de façon stéréotypée et n'est de surcroît pas plausible. Il est en effet inconcevable que craignant pour sa sécurité, suite à plusieurs tentatives d'enlèvement après son adhésion au TNA, il ait suivi trois personnes inconnues venues l'interroger au domicile de sa soeur, sans même leur demander qui elles étaient et ce qu'elles lui voulaient. L'explication à ce comportement, selon laquelle il aurait pu croire avoir affaire à de membres du TNA et se rendre compte qu'il s'agissait de membres du CID ("Criminal Investigation Departement") seulement en chemin vers le camp militaire, apparaît tout aussi illogique, une telle absence de précaution ne coïncidant manifestement pas avec le comportement d'une personne contrainte de se cacher et craignant d'être enlevée à tout moment. S'agissant de son arrestation en (...) 2008, suite à la découverte d'une grenade à proximité de son domicile, il a déclaré avoir totalement ignoré sa présence et l'origine de celle-ci (cf. pv de l'audition du 24 avril 2015, p. 6). Dans une autre version, il a affirmé avoir réceptionné des armes de la part des LTTE et les avoir cachées dans une plantation de cocotiers (cf. pv de l'audition du 11 septembre 2014, p. 7). Par ailleurs, il est invraisemblable qu'il ait été recherché par les autorités après s'être soustrait, en 2009, à son obligation de se présenter au poste militaire depuis son arrestation. En effet, la prise d'un emploi au sein du (...) entre (...) 2010 et (...) 2013 contredit l'existence d'une obligation de se cacher pour échapper aux autorités.</w:t>
      </w:r>
    </w:p>
    <w:p>
      <w:r>
        <w:rPr>
          <w:b/>
        </w:rPr>
        <w:t>E. 3.2</w:t>
      </w:r>
    </w:p>
    <w:p>
      <w:r>
        <w:t>Le recourant reconnaît s'être contredit sur certains points, mais les justifie par des troubles de la mémoire et de la concentration en lien avec un état de stress post-traumatique (PTSD) traité depuis octobre 2014. Il soutient aussi que les attestations médicales produites à titre de moyen de preuve seraient à même d'étayer ses allégations concernant les mauvais traitements subis dans son pays d'origine. Cependant, selon la jurisprudence, le diagnostic d'un PTSD n'établit pas en soi la réalité des causes du traumatisme (les persécutions alléguées) ni les circonstances dans lesquelles le traumatisme s'est produit, et ne constitue qu'un indice parmi bien d'autres dont il faut tenir compte pour l'évaluation de la crédibilité des allégués de persécution (cf. ATAF 2015/11 consid. 7.2.1 et 7.2.2).</w:t>
      </w:r>
    </w:p>
    <w:p>
      <w:r>
        <w:rPr>
          <w:b/>
        </w:rPr>
        <w:t>E. 3.3</w:t>
      </w:r>
    </w:p>
    <w:p>
      <w:r>
        <w:t>Dans ces circonstances, une mise en balance des indices plaidants pour la vraisemblance des motifs de protection allégués et de ceux allant en sens contraire conduit le Tribunal à retenir que l'intéressé n'a pas rendu vraisemblable au sens de l'art. 7 LAsi avoir été soumis, dans les six à douze mois avant son départ, à un préjudice déterminant en matière d'asile. Il ne ressort pas non plus de ses déclarations qu'il peut se prévaloir d'une crainte objectivement fondée d'être soumis à un préjudice sérieux au sens de l'art. 3 LAsi à son retour au pays. Le recours, en tant qu'il conteste le refus de reconnaissance de la qualité de réfugié pour des motifs antérieurs à son départ et le rejet de la demande d'asile, doit être rejeté.</w:t>
      </w:r>
    </w:p>
    <w:p>
      <w:r>
        <w:rPr>
          <w:b/>
        </w:rPr>
        <w:t>E. 4</w:t>
      </w:r>
    </w:p>
    <w:p>
      <w:r>
        <w:t>Le recourant invoque également des motifs subjectifs postérieurs à la fuite (art. 54 LAsi) et la crainte fondée de persécutions futures par les autorités sri-lankaises, au sens de l'art. 3 LAsi, du fait de son engagement politique en Suisse.</w:t>
      </w:r>
    </w:p>
    <w:p>
      <w:r>
        <w:rPr>
          <w:b/>
        </w:rPr>
        <w:t>E. 4.1</w:t>
      </w:r>
    </w:p>
    <w:p>
      <w:r>
        <w:t>En présence de motifs subjectifs postérieurs à la fuite, la qualité de réfugié est reconnue si, après un examen approfondi des circonstances, il doit être présumé, au sens de l'art. 7 LAsi, que le comportement de l'étranger concerné est arrivé à la connaissance des autorités du pays d'origine et l'exposerait, en cas de retour, à une persécution déterminante en matière d'asile (cf. ATAF 2010/44 consid. 3.5. p. 621 et réf. cit., ATAF 2009/29 consid. 5.1 p. 376 s., ATAF 2009/28 consid. 7.1 p. 352; JICRA 2006 n° 1 consid. 6.1 p. 10 et réf. cit.; WALTER STÖCKLI, Asyl, in: Ausländerrecht, Handbücher für die Anwaltspraxis, Band VIII, 2ème éd., Bâle 2009, p. 542, ch. 11.55 ss; NGUYEN, Droit public des étrangers, Berne 2003, p. 448 ss).</w:t>
      </w:r>
    </w:p>
    <w:p>
      <w:r>
        <w:rPr>
          <w:b/>
        </w:rPr>
        <w:t>E. 4.2</w:t>
      </w:r>
    </w:p>
    <w:p>
      <w:r>
        <w:t>Cela étant, le Tribunal retient, à l'instar du SEM, que la participation du recourant en 2014 à une manifestation sur la voie publique et à une réunion tamoule dans un centre commercial ne constitue pas une activité politique intense et durable, susceptible d'être considérée comme une menace sérieuse et concrète par le gouvernement en place. En outre, bien qu'il soit reconnaissable sur quatre photographies versées au dossier, A._______ n'a pas rendu vraisemblable que ces photos soient parvenues à la connaissance des autorités sri-lankaises et que celle-ci auraient été en mesure de l'identifier.</w:t>
      </w:r>
    </w:p>
    <w:p>
      <w:r>
        <w:rPr>
          <w:b/>
        </w:rPr>
        <w:t>E. 4.3</w:t>
      </w:r>
    </w:p>
    <w:p>
      <w:r>
        <w:t>L'intéressé n'a pas non plus rendu hautement probable le risque de subir des traitements inhumains ou dégradants pour une autre raison en cas de renvoi dans son pays. Il ne peut en particulier être admis que tous les requérants d'asile déboutés d'ethnie tamoule seraient sujets à des persécutions en cas de retour au Sri-Lanka (cf. arrêt de référence E-1866/2015 du 15 juillet 2016 consid. 8.3 ss). Dans le cas en l'espèce, eu égard aux pratiques des autorités sri-lankaises en la matière, le danger d'une arrestation est limité, comme l'a retenu le SEM dans la décision attaquée. En raison du manque de vraisemblance des allégations du recourant, il n'y a pas lieu de considérer qu'il serait dans le collimateur des autorités sri-lankaises. Selon ses déclarations, il n'a jamais été membre des LTTE et, même à supposer qu'elle ait jamais été connue des autorités, la distribution de tracts pour ce mouvement lors de sa jeunesse remonte à plus de dix ans. Par ailleurs, le seul fait d'avoir déposé une demande d'asile en Suisse ne l'expose pas, en soi, à des traitements prohibés en cas de retour (cf. arrêt de la Cour européenne des droits de l'homme [CourEDH], R.J. contre France du 19 septembre 2013, 10466/11, ch. 37 et 39; cf. aussi ATAF 2011/24 consid. 8.4 et 10.4). Même s'il était appelé à voyager en possession d'un laissez-passer qui pourrait certes justifier des vérifications plus poussées à son arrivée, aucun indice au dossier n'indique qu'il figurerait sur une liste de personnes à arrêter ou à surveiller de plus près.</w:t>
      </w:r>
    </w:p>
    <w:p>
      <w:r>
        <w:rPr>
          <w:b/>
        </w:rPr>
        <w:t>E. 4.4</w:t>
      </w:r>
    </w:p>
    <w:p>
      <w:r>
        <w:t>Ainsi, la crainte du recourant d'avoir à subir de sérieux préjudices au sens de l'art. 3 LAsi en cas de retour au Sri Lanka n'est donc pas objectivement fondée et la qualité de réfugié pour des motifs subjectifs postérieurs à son départ du pays ne peut donc lui être reconnue.</w:t>
      </w:r>
    </w:p>
    <w:p>
      <w:r>
        <w:rPr>
          <w:b/>
        </w:rPr>
        <w:t>E. 5.1</w:t>
      </w:r>
    </w:p>
    <w:p>
      <w:r>
        <w:t>Lorsqu'il rejette la demande d'asile ou qu'il refuse d'entrer en matière à ce sujet, le SEM prononce, en règle générale, le renvoi de Suisse et en ordonne l'exécution; il tient compte du principe de l'unité de la famille (art. 44 LAsi).</w:t>
      </w:r>
    </w:p>
    <w:p>
      <w:r>
        <w:rPr>
          <w:b/>
        </w:rPr>
        <w:t>E. 5.2</w:t>
      </w:r>
    </w:p>
    <w:p>
      <w:r>
        <w:t>Aucune des conditions de l'art. 32 de l'ordonnance 1 sur l'asile du 11 août 1999 (OA 1, RS 142.311) n'étant réalisée, en l'absence notamment d'un droit du recourant à une autorisation de séjour ou d'établissement, le Tribunal est tenu de confirmer le renvoi.</w:t>
      </w:r>
    </w:p>
    <w:p>
      <w:r>
        <w:rPr>
          <w:b/>
        </w:rPr>
        <w:t>E. 6.1</w:t>
      </w:r>
    </w:p>
    <w:p>
      <w:r>
        <w:t>La décision d'exécuter le renvoi est régie par les art. 83 et LEtr (RS 142.20; cf. renvoi de l'art. 44 LAsi). L'exécution du renvoi est ordonnée si elle est licite, possible et peut raisonnablement être exigée. Si ces conditions ne sont pas réunies, l'admission provisoire doit être prononcée.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w:t>
      </w:r>
    </w:p>
    <w:p>
      <w:r>
        <w:rPr>
          <w:b/>
        </w:rPr>
        <w:t>E. 7.3.2</w:t>
      </w:r>
    </w:p>
    <w:p>
      <w:r>
        <w:t>En l'occurrence, le Tribunal constate que le recourant n'a pas établi qu'il a le profil d'une personne pouvant intéresser les autorités sri- lankaises ni a fortiori l'existence de motifs sérieux et avérés de croire à un risque réel d'être soumis à un traitement de cette nature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cf. aussi ATAF 2011/24 consid. 10.4).</w:t>
      </w:r>
    </w:p>
    <w:p>
      <w:r>
        <w:rPr>
          <w:b/>
        </w:rPr>
        <w:t>E. 7.4</w:t>
      </w:r>
    </w:p>
    <w:p>
      <w:r>
        <w:t>Ainsi,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8.2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notamment arrêt du Tribunal E-1707/2015 du 15 mai 2015, consid. 5.3).</w:t>
      </w:r>
    </w:p>
    <w:p>
      <w:r>
        <w:rPr>
          <w:b/>
        </w:rPr>
        <w:t>E. 8.3</w:t>
      </w:r>
    </w:p>
    <w:p>
      <w:r>
        <w:t>Dans son arrêt publié aux ATAF 2011/24, le Tribunal a considéré que dans la province du Nord (exception faite de la région du Vanni), il n'existait pas de situation de violence généralisée et que la situation n'y était pas tendue au point de considérer, de manière générale, les renvois dans cette région comme non raisonnablement exigibles. Cependant, en raison de la situation humanitaire et économique fragile, une analyse consciencieuse et mesurée des critères d'exigibilité individuels doit être faite. A cet égard, le Tribunal retient qu'outre les aspects socio-économiques et médicaux habituels, l'analyse doit également comporter un élément temporel. Ainsi, l'analyse se fera de manière différenciée pour les personnes originaires de la province du Nord l'ayant quittée après la fin de la guerre et pour celles l'ayant fuie avant. Il est encore rappelé que la situation dans le district de Jaffna et les parties sud des districts de Vavunyia et Mannar s'est normalisée, au point qu'un renvoi y est raisonnablement exigible (cf. arrêt de référence E-1866/2015 du 15 juillet 2016 consid. 9).</w:t>
      </w:r>
    </w:p>
    <w:p>
      <w:r>
        <w:rPr>
          <w:b/>
        </w:rPr>
        <w:t>E. 8.4</w:t>
      </w:r>
    </w:p>
    <w:p>
      <w:r>
        <w:t>En l'occurrence, il ne ressort du dossier aucun élément dont on pourrait inférer que l'exécution du renvoi impliquerait une mise en danger concrète du recourant. Il serait né à C._______ et aurait vécu jusqu'à son départ en (...) 2014 à D._______, district de Jaffna où, contrairement à la région du Vanni, l'exécution du renvoi des requérants déboutés est en principe raisonnablement exigible pour les personnes qui n'ont quitté ce district qu'après la fin de la guerre civile, en mai 2009 (ATAF 2011/14 consid. 13.2.1.1).</w:t>
      </w:r>
    </w:p>
    <w:p>
      <w:r>
        <w:rPr>
          <w:b/>
        </w:rPr>
        <w:t>E. 8.5</w:t>
      </w:r>
    </w:p>
    <w:p>
      <w:r>
        <w:t>Le recourant invoque encore souffrir troubles psychiques. Il ressort des certificats médicaux des 8 et 15 juin 2015 qu'il présente un état de stress post-traumatique complexe (F 43.1), un trouble anxieux et dépressif mixte (F 41.2), des céphalées chroniques, un trouble du sommeil et des épigastralgies. Cependant, les problèmes de santé et troubles psychiques, tels qu'ils ressortent des certificats médicaux produits, ne sont pas d'une gravité propre à constituer un obstacle à l'exécution du renvoi (art. 83 al. 4 LEtr). Les certificats médicaux ne permettent aucunement d'admettre le risque d'une dégradation rapide de l'état de santé de l'intéressé, susceptible de conduire d'une manière certaine à une mise en danger concrète de son intégrité physique ou psychique en cas de renvoi dans son pays d'origine. Le traitement instauré consiste principalement en la prise de médicaments antidépresseurs, lesquels sont également disponibles au Sri Lanka, à tout le moins leurs substituts. En outre, il est rappelé que le secteur de la santé publique s'est développé au Sri Lanka, avec des hôpitaux publics disposant d'équipements modernes dans toutes les grandes villes et de prestations médicales généralement gratuites. Dans le district de Jaffna, on ne compte pas moins de six hôpitaux psychiatriques (cf. arrêt de référence E-1866/2015 du 15 juillet 2016 consid. 14.2.2). Pour le reste, et bien que cela ne soit pas décisif, le recourant bénéficie d'une expérience professionnelle et d'un réseau social et familial, soit des atouts susceptibles de faciliter sa réinsertion au Sri Lanka.</w:t>
      </w:r>
    </w:p>
    <w:p>
      <w:r>
        <w:rPr>
          <w:b/>
        </w:rPr>
        <w:t>E. 8.6</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Il s'ensuit que le recours, en tant qu'il conteste la décision de renvoi et son exécution, doit être également rejeté et la décision attaquée confirmée sur ces points.</w:t>
      </w:r>
    </w:p>
    <w:p>
      <w:r>
        <w:rPr>
          <w:b/>
        </w:rPr>
        <w:t>E. 11</w:t>
      </w:r>
    </w:p>
    <w:p>
      <w:r>
        <w:t>En conséquence, le recours doit être rejeté et la décision attaquée confirmée.</w:t>
      </w:r>
    </w:p>
    <w:p>
      <w:r>
        <w:rPr>
          <w:b/>
        </w:rPr>
        <w:t>E. 12.1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Cependant, la demande de dispense de paiement des frais de procédure doit être admise, les conclusions du recourant, indigent, n'étant pas apparues d'emblée vouées à l'échec (cf. art. 65 al. 1 PA). Il est donc statué sans frais.</w:t>
      </w:r>
    </w:p>
    <w:p>
      <w:r>
        <w:rPr>
          <w:b/>
        </w:rPr>
        <w:t>E. 12.2</w:t>
      </w:r>
    </w:p>
    <w:p>
      <w:r>
        <w:t>B._______ est commise d'office en application de l'art. 110a al. 1 let. a et al. 3 LAsi. Une indemnité à titre d'honoraires et de débours lui sera ainsi accordée (cf. art. 8 à 11 FITAF, applicables par analogie conformément à l'art. 12 FITAF). En l'occurrence, le tarif horaire demandé par la mandataire est injustifié dans son ampleur, eu égard à l'absence de complexité particulière de la cause en fait et en droit et au fait qu'en cas de représentation d'office en matière d'asile, le tarif horaire est dans la règle de 200 à 220 francs pour les avocats, et de 100 à 150 francs pour les représentants n'exerçant pas la profession d'avocat (cf. art. 12 en rapport avec l'art. 10 al. 2 FITAF). Il est par conséquent réduit de 200 francs à 140 francs. Partant, le montant de l'indemnité est arrêté à 1'080 francs (cf. art. 8 al. 2, 11 al. 3 et 4, ainsi que 12 et 14 FITAF). Conformément à l'art. 65 al. 4 PA, le recourant pourra être tenu de rembourser ce montant s'il revient à meilleure fortune.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