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D-3836/2022 vom 4. August 2022</w:t>
      </w:r>
    </w:p>
    <w:p>
      <w:r>
        <w:t>Bundesverwaltungsgericht, 2022-08-04, DE</w:t>
      </w:r>
    </w:p>
    <w:p>
      <w:r>
        <w:rPr>
          <w:b/>
        </w:rPr>
        <w:t xml:space="preserve">Quelle: </w:t>
      </w:r>
      <w:r>
        <w:t>https://mcp.opencaselaw.ch/entscheid/bvger_D-3836_2022_d20220804</w:t>
      </w:r>
    </w:p>
    <w:p>
      <w:r>
        <w:t>FR: TAF D-3836/2022 du 4 août 2022</w:t>
      </w:r>
    </w:p>
    <w:p>
      <w:r>
        <w:t>IT: TAF D-3836/2022 del 4 agosto 2022</w:t>
      </w:r>
    </w:p>
    <w:p>
      <w:pPr>
        <w:pStyle w:val="Heading2"/>
      </w:pPr>
      <w:r>
        <w:t>Regeste</w:t>
      </w:r>
    </w:p>
    <w:p>
      <w:r>
        <w:t>Asyl und Wegweisung | Asyl und Wegweisung; Verfügung des SEM vom 4.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t>D-3836/2022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 Gemäss der Schutztheorie ist somit die flüchtlingsrechtliche Relevanz einer nicht- 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w:t>
      </w:r>
    </w:p>
    <w:p>
      <w:r>
        <w:rPr>
          <w:b/>
        </w:rPr>
        <w:t>E. 5.1</w:t>
      </w:r>
    </w:p>
    <w:p>
      <w:r>
        <w:t>Zur Begründung seiner Verfügung führte das SEM aus, die Vorbringen der Beschwerdeführerinnen würden den Anforderungen an die Flüchtlings- eigenschaft nicht standhalten. Der Bundesrat habe Ghana mit Beschluss vom 5. Oktober 1993 als einen verfolgungssicheren Staat (Safe Country) im Sinne von Art. 6a Abs. 2 lit. a AsylG bezeichnet. Hinweise, welche die widerlegbare Vermutung der Verfolgungssicherheit umstossen könnten, seien keine ersichtlich. Ghana verfüge über funktionierende und effiziente staatliche Infrastrukturen. Es liege ausserhalb der Möglichkeiten eines Staates, jeden denkbaren Übergriff präventiv zu verhindern. Aus dieser Tat- sache könne jedoch nicht geschlossen werden, dass das Ersuchen um staatlichen Schutz von vornherein ein nutzloses Unterfangen sei bezie- hungsweise der ghanaische Staat seiner Schutzpflicht nicht nachkomme. Sodann könne den ghanaischen Behörden nicht vorgeworfen werden, sie seien, indem die Polizeistation am Wohnort der Beschwerdeführerinnen auf die Polizeidienststelle am Wohnort des Kindsvaters verwiesen habe,</w:t>
      </w:r>
    </w:p>
    <w:p>
      <w:r>
        <w:t>D-3836/2022 Seite 6 untätig geblieben. Den Angaben der Beschwerdeführerin 1 sei nicht zu ent- nehmen, dass sie sich tatsächlich an zuständige Polizeidienststelle oder sich angesichts der vorgebrachten anhaltenden Verfolgung seitens des Kindsvaters erneut an die heimatlichen Behörden gewandt habe. Vielmehr sei davon auszugehen, dass die Beschwerdeführerin 1 nicht alles Mögliche und Zumutbare unternommen habe, um in ihrer Heimat Schutz für sich und ihre Kinder zu erhalten. Ferner sei fraglich, ob der Kindsvater seine Absich- ten mit einer asylbeachtlichen Intensität verfolgt habe. Nachdem er der Be- schwerdeführerin 1 gesagt habe, er wolle seine Töchter beschneiden las- sen, hätten sie rund neun Jahre in Ghana gelebt, ohne dass sich ihre Be- fürchtungen verwirklicht hätten. Des Weiteren habe die Beschwerdeführe- rin 1 angegeben, der Kindsvater habe ihr im Vorfeld ihrer Ausreise die Mäd- chen überlassen und allein den Sohn bei sich behalten. Inwiefern dies mit der Angabe, sie habe Ghana hauptsächlich aufgrund der drohenden Be- schneidung ihrer Töchter verlassen, vereinbar sei, sei unklar. Ein gestei- gertes Interesse des Vaters an den Töchtern sei vor diesem Hintergrund fraglich. Ferner seien den Akten keine Hinweise zu entnehmen, wonach ihre in Ghana verbliebene Tochter seitens des Vaters weitere Nachteile er- litten habe.</w:t>
      </w:r>
    </w:p>
    <w:p>
      <w:r>
        <w:rPr>
          <w:b/>
        </w:rPr>
        <w:t>E. 5.2</w:t>
      </w:r>
    </w:p>
    <w:p>
      <w:r>
        <w:t>In der Beschwerde wurde entgegnet, die Bedrohungen durch den Kindsvater seien ernst gewesen und hätten während Jahren stattgefunden, der Kindsvater habe die Beschwerdeführerin 1 verletzt und eine Beschnei- dung habe nur mit Hilfe fremder Leute verhindert werden können und die im Heimatland verbliebene Tochter müsse sich nach wie vor versteckt hal- ten. Dies führe zum Schluss, dass die Verfolgung eine asylbeachtliche In- tensität aufweise. Es sei zudem zu bezweifeln, dass Ghana in diesem Fall schutzfähig und –willig sei. Die Polizei habe die Beschwerdeführerin 1 an eine andere Polizeistelle verwiesen, was als Ablehnung der Hilfe zu werten sei. Zu berücksichtigen sei auch, dass in Ghana im Bereich der geschlech- terspezifischen Gewalt ein Mangel an Untersuchungspflicht und Strafver- folgung herrsche (mit Verweis auf US Departement of State, 2021 Country Report on Human Rights Practices: Ghana). In einigen Gebieten von Ghana liege die Beschneidungsquote bei bis zu 25% und obwohl die weib- liche Genitalverstümmelung per Gesetz und Verfassung strafbar sei, habe es zwischen 1994 und 2019 nur sieben Verhaftungen und zwei Verurtei- lungen gegeben (mit Verweis auf Terre des Femmes, Weibliche Genital- verstümmelung – Ghana, Dezember 2019). Daraus sei zu schliessen, dass Genitalverstümmelungen in Ghana nicht mit genügend grosser Konse- quenz geahndet würden. Zu berücksichtigen sei auch, dass alleinstehende</w:t>
      </w:r>
    </w:p>
    <w:p>
      <w:r>
        <w:t>D-3836/2022 Seite 7 Frauen in Ghana nur unzureichend geschützt und oftmals Opfer von Ge- walt und Ausbeutung würden (mit Verweis auf Schweizerische Flüchtlings- hilfe [SFH], Ghana: Psychiatrische Versorgung, 11. April 2013).</w:t>
      </w:r>
    </w:p>
    <w:p>
      <w:r>
        <w:rPr>
          <w:b/>
        </w:rPr>
        <w:t>E. 6.1</w:t>
      </w:r>
    </w:p>
    <w:p>
      <w:r>
        <w:t>Der Bundesrat hat Ghana als verfolgungssicheren Staat im Sinne von Art. 6a Abs. 2 Bst. a AsylG bezeichnet (vgl. dazu Anhang 2 der Asylverord- nung 1 vom 11. August 1999 [AsylV 1, SR 142.311]). Die Bezeichnung ei- 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 ziierter Hinweise umgestossen werden, wobei die Beweislast des Gegen- teils der asylsuchenden Person obliegt (vgl. BVGE 2013/10 E. 7.4.3).</w:t>
      </w:r>
    </w:p>
    <w:p>
      <w:r>
        <w:rPr>
          <w:b/>
        </w:rPr>
        <w:t>E. 6.2</w:t>
      </w:r>
    </w:p>
    <w:p>
      <w:r>
        <w:t>Die Beschwerdeführerinnen vermögen mit ihren Vorbringen diese Re- gelvermutung (Gewährleistung von Schutz vor nichtstaatlicher Verfolgung in Ghana) nicht umzustossen. Es liegen keine konkreten Hinweise für eine Schutzverweigerung oder Schutzunfähigkeit der ghanaischen Behörden vor. Das Vorbringen, die Beschwerdeführerin 1 sei von der ghanaischen Polizei mit ihrem Anliegen abgewiesen worden, ist nicht geeignet, den Schutzwillen der Sicherheitsbehörden in Frage zu stellen. Auch wenn die Beschwerdeführerin 1 wie dargelegt an die zuständige Stelle in H._______ verwiesen worden ist, ist dies nicht per se als Ablehnung der Hilfe zu wer- ten. Hinzu kommt, dass sie nie um Schutz bei den zuständigen Behörden in H._______ ersucht oder anderweitig versucht hat, staatliche Hilfe zu be- kommen. Ihre Erklärung, sie habe in D._______ gelebt und deshalb nicht in H._______ Anzeige erstatten können, ist als blosse Schutzbehauptung zu werten, zumal es ihr in anderem Zusammenhang durchaus möglich ge- wesen ist, in die – rund 70 km von D._______ entfernte – Ortschaft H._______ zu reisen (vgl. act. SEM 1108740-30/11 F15 und F19). Damit haben die Beschwerdeführerinnen die Schutzsuche in Ghana offensicht- lich nicht ausgeschöpft, wozu sie jedoch gehalten gewesen wären. Auf- grund der Subsidiarität des flüchtlingsrechtlichen Schutzes hätten sie sich an die zuständigen Behörden in Ghana wenden müssen, bevor sie in der Schweiz um Schutz ersucht haben respektive werden sie sich künftig an diese wenden müssen, sollten sie entsprechende Übergriffe befürchten.</w:t>
      </w:r>
    </w:p>
    <w:p>
      <w:r>
        <w:t>D-3836/2022 Seite 8</w:t>
      </w:r>
    </w:p>
    <w:p>
      <w:r>
        <w:rPr>
          <w:b/>
        </w:rPr>
        <w:t>E. 6.3</w:t>
      </w:r>
    </w:p>
    <w:p>
      <w:r>
        <w:t>Auch mit dem pauschalen Vorbringen, der ghanaische Staat sei spezi- fisch bezüglich weiblicher Genitalverstümmelung nicht schutzfähig respek- tive schutzwillig, vermögen sie die beschriebene Regelvermutung nicht umzustossen. Weibliche Genitalverstümmelung (FGM) ist in Ghana seit 1994 gesetzlich verboten und wird im Falle einer Verurteilung mit einer Freiheitsstrafe von mindestens drei Jahren bestraft. Zum Kreis der Perso- nen, die für die Praxis der Genitalverstümmelung zur Rechenschaft gezo- gen werden kann, zählen unter anderem auch die Eltern (vgl. OECD, Social Institutions &amp; Gender Index 2019 – Ghana, Dezember 2018, Ab- schnitt 2e, &lt; https://www.genderindex.org/wp-content/uploads/files/da- tasheets/2019/GH.pdf &gt;, abgerufen am 2. November 2022; UK Home Of- fice, Country Policy and Information Note – Ghana: Background infor- mation, including internal relocation, September 2020, Ziff. 14.6, &lt; https://assets.publishing.service.gov.uk/government/uploads/system/up- loads/attachment_data/file/ 921359/Ghana_-_Background _note__includ- ing_IR_-_CPIN_-_ v1.0_final_gov.uk.pdf &gt;, abgerufen am 2. November 2022; The World Bank, Compendium of International and National Legal Frameworks on Female Genital Mutilation, 5. Edition, Februar 2021, Ziff. 4.1.14, &lt; https://open-knowledge.worldbank.org/bitstream/handle/10986/ 35112/Compendium-of-International-and-National-Legal-Frameworks-on- Female-Genital-Mutilation-Fifth-Edition.pdf?sequence=1&amp;isAllowed=y &gt;, abgerufen am 2. November 2022). Dabei ist auch strafbar, wenn die Tat ausserhalb Ghanas begangen wird und die begangene Handlung im Land, in welchem die weibliche Genitalverstümmelung durchgeführt wird, keine Straftat darstellt (28 Too Many, Ghana: The Law and FGM, September 2018, S. 4, &lt; https://www.28toomany.org/media/uploads/Law%20Re- ports/ghana_law _report_v1_(september_2018).pdf &gt;, abgerufen am 2. November 2022). Neben landesweiten Interventionsprogrammen hat die ghanaische Regierung die Polizeieinheiten für häusliche Gewalt und Op- ferhilfe ausgebaut und spezielle Gerichte für geschlechtsspezifische Ge- walt errichtet (vgl. Freedom House, Freedom in the World – Ghana, Feb- ruar 2022, G3, &lt; https://freedomhouse.org/country/ghana/freedom-world/ 2022 &gt;, abgerufen am 2. November 2022). Seit dem Domestic Violence Act von 2007 können durch die Behörden zudem Schutzmassnahmen an- geordnet werden, um mögliche FGM-Opfer im familiären Kontext zu schüt- zen (28 Too Many, Ghana: The Law and FGM, September 2018, S. 3). Zwar gibt es bezüglich dem Engagement der ghanaischen Regierung ge- gen die weibliche Genitalverstümmelung auch Kritik (keine verlässlichen Informationen über die Zahl entsprechender Gerichtsverfahren oder Straf-</w:t>
      </w:r>
    </w:p>
    <w:p>
      <w:r>
        <w:t>D-3836/2022 Seite 9 verfolgungen sowie nicht ausreichende Mittel der Polizeibehörden und Ge- richte), allerdings nicht in einem Ausmass, welches an der Schutzfähigkeit und – willigkeit Ghanas bei FGM-Delikten zu Zweifeln Anlass bieten würde. Auch die in der Beschwerde zitierten Berichte stellen dies nicht in Frage. Sodann beziehen sich die kritischen Berichte und die in der Beschwerde genannten Zahlen auf die nördlichen Regionen Ghanas und nicht auf den Süden, wo D._______ und H._______ liegen (vgl. UK Home Office, Country Policy and Information Note – Ghana: Background information, in- cluding internal relocation, September 2020, Ziff. 14.6 m.w.H.). Bezeich- nenderweise ist der Beschwerdeführerin 1 im Zusammenhang mit der an- geblich befürchteten Beschneidung der Töchter denn auch von mehreren Personen in Ghana empfohlen worden, die Polizei einzuschalten (vgl. act. SEM 1108740-30/11 F15 und F19). Demnach ist offenkundig auch das Um- feld der Beschwerdeführerin davon ausgegangen, dass die ghanaische Polizei schutzfähig und -willig ist.</w:t>
      </w:r>
    </w:p>
    <w:p>
      <w:r>
        <w:rPr>
          <w:b/>
        </w:rPr>
        <w:t>E. 6.4</w:t>
      </w:r>
    </w:p>
    <w:p>
      <w:r>
        <w:t>Folglich vermögen weder die Asylvorbringen bezüglich der Beschwer- deführerin 1 noch die Asylvorbringen bezüglich der Beschwerdeführerin 2 den Anforderungen an die Flüchtlingseigenschaft standzuhalten.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D-3836/2022 Seite 10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schwerdeführerinnen nicht gelungen ist, eine asylrechtlich erhebliche Ge- 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 sig. Sodann ergeben sich weder aus den Aussagen der Beschwerdeführerin- nen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Beschwerdeführerinnen eine konkrete Gefahr ("real risk") nachweisen oder glaubhaft machen, dass ihnen im Fall einer Rückschie- bung Folter oder unmenschliche Behandlung drohen würde (vgl. Urteil des EGMR Saadi gegen Italien vom 28. Februar 2008, Grosse Kammer</w:t>
      </w:r>
    </w:p>
    <w:p>
      <w:r>
        <w:t>D-3836/2022 Seite 11 37201/06, §§ 124–127 m.w.H.). Sollten die Beschwerdeführerinnen nach ihrer Rückkehr erneut seitens des Kindsvaters bedroht werden, hätten sie sich an die zuständigen heimatlichen Behörden zu wenden. Auch die all- 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8.4.1</w:t>
      </w:r>
    </w:p>
    <w:p>
      <w:r>
        <w:t>Die Beschwerdeführerinnen machten in der Beschwerde diesbezüg- lich geltend, es sprächen individuelle Gründe gegen die Zumutbarkeit des Wegweisungsvollzugs. Sie würden bei einer Rückkehr in eine existenz- bedrohende Lage geraten. Die Beschwerdeführerin 1 sei eine alleinerzie- hende Mutter und könne sich nicht auf ein tragfähiges Beziehungsnetz ab- stützen. In Ghana würden Halbgeschwister nicht als Geschwister angese- hen, weshalb sie sich nicht auf deren Unterstützung verlassen könne. Auch der Vater des jüngsten Kindes könne sie nicht finanziell unterstützen und habe dies auch bereits verweigert. Zudem stünden sie aus nachvollzieh- baren Gründen nicht mehr in Kontakt. Ihre Freundin habe ihre Kinder zwar bei sich aufgenommen, sei aber auch nicht in der Lage, sie nach ihrer Rückkehr finanziell zu unterstützen. Bei genügender Unterstützung hätte sie ihre älteste Tochter nicht in Ghana zurücklassen müssen. Sie habe für die Reise in die Schweiz ihr ganzes Vermögen ausgegeben und verfüge über keine finanzielle Mittel mehr. Erschwerend komme hinzu, dass sie un- ter Angstzuständen und Schlafproblemen leide. In Ghana würden psy- chisch Erkrankte stigmatisiert und die Behandlungsmöglichkeiten seien ge- ring (mit Verweis auf den obgenannten Bericht der SFH). In der Eingabe vom 9. September 2022 wurde zudem geltend gemacht, der Beschwerdeführerin 2 gehe es sehr schlecht, sie könne nicht essen</w:t>
      </w:r>
    </w:p>
    <w:p>
      <w:r>
        <w:t>D-3836/2022 Seite 12 und weine immer. Deswegen habe sie am (…) einen Arzttermin. Die ent- sprechenden Unterlagen werde sie nachreichen. In der beigelegten E-Mail- korrespondenz erwähnte die Beschwerdeführerin 1, dass sie lieber sterben würde, als irgendwohin zu gehen.</w:t>
      </w:r>
    </w:p>
    <w:p>
      <w:r>
        <w:rPr>
          <w:b/>
        </w:rPr>
        <w:t>E. 8.4.2</w:t>
      </w:r>
    </w:p>
    <w:p>
      <w:r>
        <w:t>Zusammen mit der Bezeichnung als «Safe Country» bezeichnete der Bundesrat Ghana als Heimat- oder Herkunftsstaat, in den eine Rückkehr in der Regel zumutbar ist (vgl. Art. 83 Abs. 5 AIG). Damit spricht die allge- meine Lage in Ghana nicht gegen die Zumutbarkeit des Wegweisungsvoll- zugs. Hinsichtlich der individuellen Situation ist festzustellen, dass die Beschwer- deführerin 1 über einen Sekundarschulabschluss sowie mehrjährige Ar- beitserfahrung als Selbständigerwerbende verfügt. Entgegen der Auffas- sung in der Beschwerde ist sodann davon auszugehen, dass sie über ein tragfähiges Beziehungsnetz in ihrer Heimat verfügt. Sowohl die Familie ih- res Vaters, ihre Freundin, der Vater der Beschwerdeführerin 3 als auch ein Mann, der wie ein Bruder für sie sei, haben sie in der Vergangenheit finan- ziell, mit einer Unterkunft oder anderweitig unterstützt (vgl. act. SEM 1108740-16/14 F29, F65, F68f. und F73). Auch wenn es zutreffen sollte, dass diese keine (wesentliche) finanzielle Unterstützung zu leisten bereit oder in der Lage sein sollten, darf davon ausgegangen werden, dass die Beschwerdeführerinnen bei der Rückkehr beispielsweise betreffend (zu- mindest vorübergehender) Unterkunft und Wohnungssuche nicht völlig auf sich allein gestellt sein werden. Aufgrund der Aktenlage ist nicht davon aus- zugehen, die Beschwerdeführerinnen würden bei einer Rückkehr nach Ghana aus individuellen Gründen wirtschaftlicher und sozialer Natur in eine existenzielle Notlage geraten. Gemäss dem auf Beschwerdeebene eingereichten ärztlichen Attest vom (…) leidet die Beschwerdeführerin 1 an Schlafstörungen und Angstzustän- den. Ihr gesundheitlicher Zustand habe sich durch den negativen Ent- scheid des SEM sehr verschlechtert. Angesicht dieser dokumentierten Be- schwerden ist nicht davon auszugehen, die Beschwerdeführerin 1 werde in eine medizinische Notlage geraten. Die von der Rechtsprechung für die Unzumutbarkeit des Vollzugs geforderte hohe Schwelle der gesundheitli- chen Beeinträchtigung ist aufgrund der Aktenlage nicht erfüllt. Zudem ist die medizinische Grundversorgung in Ghana gewährleistet (vgl. Urteil des BVGer E-3040/2021 vom 7. September 2021 E. 8.4.3). Hinsichtlich einer allfälligen Gefahr der Suizidalität bei einem zwangsweisen Wegweisungs- vollzug ist darauf hinzuweisen, dass vom Vollzug der Wegweisung gemäss</w:t>
      </w:r>
    </w:p>
    <w:p>
      <w:r>
        <w:t>D-3836/2022 Seite 13 konstanter Rechtsprechung nicht Abstand zu nehmen ist, solange Mass- nahmen zur Verhütung der Umsetzung einer Suiziddrohung getroffen wer- den können (vgl. etwa Urteil des BVGer D-4227/2020 vom 4. März 2021 E. 8.3). Hinsichtlich des Gesundheitszustands der Beschwerdeführerin 2 ist fest- zustellen, dass bis zum heutigen Urteil keine ärztlichen Unterlagen einge- reicht worden sind. Das Bundesverwaltungsgericht erachtet die geltend ge- machten, jedoch unbelegt gebliebenen Probleme der Beschwerdeführe- rin 2 nicht als derart gravierend, dass sie der Zumutbarkeit eines Vollzugs der Wegweisung entgegenstehen. Die von der Rechtsprechung für die Un- zumutbarkeit des Vollzugs geforderte hohe Schwelle dürfte angesichts der geschilderten Beschwerden nicht erfüllt sein. In antizipierter Würdigung be- steht für das Gericht folglich auch keine Veranlassung, weitere Abklärun- gen zu treffen oder die Einreichung der ärztlichen Unterlagen abzuwarten. Unter dem Gesichtspunkt des Kindeswohls, welches im Rahmen der Zu- mutbarkeitsprüfung mitzuberücksichtigen ist (vgl. Art. 3 Abs. 1 des Über- einkommens über die Rechte des Kindes vom 20. November 1989 [KRK, SR 0.107]), ist festzustellen, dass es sich bei den Beschwerdeführerinnen 2 und 3 um ein elfjähriges und ein einjähriges Kind handelt, deren Bezugs- person in erster Linie ihre Mutter ist. Eine selbständige Eingewöhnung an hiesige Lebensumstände hat noch kaum stattgefunden und von einer Ent- wurzelung bei einer Rückkehr zusammen mit ihrer Mutter in deren Heimat- staat kann nicht gesprochen werden. Nach dem Gesagten erweist sich der Vollzug der Wegweisung auch als zumutbar.</w:t>
      </w:r>
    </w:p>
    <w:p>
      <w:r>
        <w:rPr>
          <w:b/>
        </w:rPr>
        <w:t>E. 8.5</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D-3836/2022 Seite 14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Rechtspflege (nach Art. 65 Abs. 1 VwVG) und amtlichen Verbeiständung (nach 102m Abs. 1 AsylG i.V.m Art. 65 Abs. 1 VwVG) sind abzuweisen, da sich die Be- schwerde nach dem Gesagten als von Anfang an aussichtslos erwiesen hat und es daher an einer gesetzlichen Voraussetzung zu deren Gewäh- rung fehlt.</w:t>
      </w:r>
    </w:p>
    <w:p>
      <w:r>
        <w:rPr>
          <w:b/>
        </w:rPr>
        <w:t>E. 10.3</w:t>
      </w:r>
    </w:p>
    <w:p>
      <w:r>
        <w:t>Bei diesem Ausgang des Verfahrens sind die Kosten den Beschwer- deführerinnen aufzuerlegen (Art. 63 Abs. 1 VwVG) und auf insgesamt Fr. 750.– festzusetzen (Art. 1–3 des Reglements vom 21. Februar 2008 über die Kosten und Entschädigungen vor dem Bundesverwaltungsgericht [VGKE, SR 173.320.2]). (Dispositiv nächste Seite)</w:t>
      </w:r>
    </w:p>
    <w:p>
      <w:r>
        <w:t>D-3836/2022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