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D-3832/2010 vom 7. Juni 2010</w:t>
      </w:r>
    </w:p>
    <w:p>
      <w:r>
        <w:t>Bundesverwaltungsgericht, 2010-06-07, DE</w:t>
      </w:r>
    </w:p>
    <w:p>
      <w:r>
        <w:rPr>
          <w:b/>
        </w:rPr>
        <w:t xml:space="preserve">Quelle: </w:t>
      </w:r>
      <w:r>
        <w:t>https://mcp.opencaselaw.ch/entscheid/bvger_D-3832_2010</w:t>
      </w:r>
    </w:p>
    <w:p>
      <w:r>
        <w:t>FR: TAF D-3832/2010 du 7 juin 2010</w:t>
      </w:r>
    </w:p>
    <w:p>
      <w:r>
        <w:t>IT: TAF D-3832/2010 del 7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 Das Verfahren richtet sich nach dem VwVG, dem VGG und dem BGG, soweit das AsylG nichts anderes bestimmt (Art. 37 VGG und Art. 6 AsylG).</w:t>
      </w:r>
    </w:p>
    <w:p>
      <w:r>
        <w:rPr>
          <w:b/>
        </w:rPr>
        <w:t>E. 1.2</w:t>
      </w:r>
    </w:p>
    <w:p>
      <w:r>
        <w:t>Die Beschwerde ist nicht in einer Amtssprache des Bundes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1.3</w:t>
      </w:r>
    </w:p>
    <w:p>
      <w:r>
        <w:t>Der Zeitpunkt der Eröffnung der angefochtenen Verfügung steht mangels Vorliegens einer Empfangsbestätigung nicht fest. Angesichts der Tatsache, dass der (zweite) Versand der angefochtenen Verfügung gemäss Angaben der Schweizer Bortschaft in Bogotá am 12. April 2010 erfolgt ist und die Beschwerdeeingabe vom 4. Mai 2010 dort gleichentags eingegangen ist, ist die Beschwerde indessen offensichtlich rechtzeitig erfolgt.</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 abgesehen vom unter E. 1.2 festgestellten Mangel -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4.2.1</w:t>
      </w:r>
    </w:p>
    <w:p>
      <w:r>
        <w:t>Im vorliegenden Fall wurde der Beschwerdeführer von der schweizerischen Vertretung in Bogotá zu seinem am 10. März 2009 eingegangenen Asylgesuch vom 9. März 2009 nicht befragt, da die Botschaft dazu gemäss Überweisungsschreiben vom 25. August 2009 aus Kapazitätsgründen nicht in der Lage war; der Beschwerdeführer wurde indessen mittels Schreiben vom 6. Juli 2009 zur weiteren Konkretisierung seiner Asylgründe aufgefordert. Die in diesem Schreiben enthaltenen Fragestellungen decken sämtliche für die Beurteilung des Asylgesuches aus dem Ausland notwendigen Aspekte ab (vgl. dazu nachfolgende E. 5.2), namentlich die genauen Personalien der asylsuchenden Person, deren verwandtschaftliche Beziehungen ausserhalb des Heimatstaates, die Asylvorbringen, die unternomme-nen Massnahmen zur Schutzsuche, die Möglichkeit einer innerstaatlichen Fluchtalternative sowie die Möglichkeit der Schutzsuche in anderen latein- und südamerikanischen Staaten. Der Beschwerdeführer hat die ihm gestellten Fragen mit Eingabe vom 3. August 2009 ausführlich beantwortet, seine Angaben aufforderungsgemäss mit entsprechenden Beweismitteln unterlegt und in der Folge noch mehrmals schriftlich ergänzt. Bei dieser Sachlage ist festzuhalten, dass im erstinstanzlichen Verfahren dem Anspruch des Beschwerdeführers auf Gewährung des rechtlichen Gehörs grundsätzlich Rechnung getragen und der entscheidwesentliche Sachverhalt in genüglicher Weise und umfassend abgeklärt wurde, zumal der Beschwerdeführer seine Asylgründe bereits im Rahmen seines schriftlichen Asylgesuchs vom 9. März 2009 ausführlich dargelegt und in diesem Zusammenhang eine Vielzahl von Beweismitteln eingereicht hatte.</w:t>
      </w:r>
    </w:p>
    <w:p>
      <w:r>
        <w:rPr>
          <w:b/>
        </w:rPr>
        <w:t>E. 4.2.2</w:t>
      </w:r>
    </w:p>
    <w:p>
      <w:r>
        <w:t>Die Vorinstanz hat allerdings den Verzicht auf eine Befragung in der angefochtenen Verfügung nicht begründet, was vor dem Hintergrund der genannten Rechtsprechung des Bundesverwaltungsgerichts einer Verletzung des rechtlichen Gehörs gleichkommt. Angesichts des vorab deklaratorischen Charakters der diesbezüglichen Begründungspflicht und unter Berücksichtigung der Gegebenheiten des konkreten Einzelfalles erscheint die Gehörsverletzung indessen nicht schwerwiegend; insbesondere hat sie die Möglichkeit des Beschwerdeführers, die Verfügung vom 12. Januar 2010 sachgerecht anfechten zu können, in keiner Weise beeinträchtigt. Eine Aufhebung der angefochtenen Verfügung aus formellen Gründen käme demnach einem blossen prozessualen Leerlauf gleich, weshalb der Mangel durch die im vorliegenden Beschwerdeentscheid nachgereichte Begründung als geheilt zu bezeichnen ist. Es bleibt somit im Folgenden zu prüfen, ob das Bundesamt das Asylgesuch in materieller Hinsicht zu Recht abgewiesen und dem Beschwerdeführer die Einreise in die Schweiz verweigert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der Beschwerdeführer habe in seinem Gesuch keine besonders nahen Beziehungen zur Schweiz geltend gemacht. Im Weiteren hat das Bundesamt zu Recht erwogen, dass es dem Beschwerdeführer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dem Beschwerdeführer praktisch unmöglich oder objektiv unzumutbar, sich in einen anderen Staat, insbesondere einen der Nachbarstaaten Kolumbiens, zu begeben (vgl. EMARK 2004 Nr. 20 sowie 1997 Nr. 15, Erw. 2f, S. 132). Dies gilt umso mehr, als aus den Akten ersichtlich ist, dass es sich beim Beschwerdeführer nicht um eine landesweit bekannte Persönlichkeit handelt, die aufgrund ihrer besonders exponierten Stellung auch bei einer Flucht ins nahe Ausland allenfalls befürchten müsste, weiterhin verfolgt zu werden. Vor diesem Hintergrund vermögen die Entgegnungen des Beschwerdeführers in seiner Beschwer-de vom 4. Mai 2010, wonach er keine Möglichkeit sehe, in einem anderen lateinamerikanischen Staat um Schutz nachzusuchen, da in diesen Ländern dieselben Probleme wie in Kolumbien herrschten und die Menschenrechte nicht geachtet würden, zu keiner anderen Ein-schätzung zu führen.</w:t>
      </w:r>
    </w:p>
    <w:p>
      <w:r>
        <w:rPr>
          <w:b/>
        </w:rPr>
        <w:t>E. 6.2</w:t>
      </w:r>
    </w:p>
    <w:p>
      <w:r>
        <w:t>Bei dieser Sachlage kann letztlich offen bleiben, ob sich der Beschwerdeführer den Bedrohungen durch die Paramilitärs allenfalls durch eine innerstaatliche Wohnsitzverlegung entziehen könnten. Ebensowenig braucht auf das erstmals auf Beschwerdeebene geltend gemachte Vorbringen des Beschwerdeführers einzugehen, dass, nachdem er seine Verfolgungsvorbringen den kolumbianischen Behörden dargelegt habe, diese von ihm nun forderten, (...).</w:t>
      </w:r>
    </w:p>
    <w:p>
      <w:r>
        <w:rPr>
          <w:b/>
        </w:rPr>
        <w:t>E. 6.3</w:t>
      </w:r>
    </w:p>
    <w:p>
      <w:r>
        <w:t>Nach dem Gesagten ist zusammenfassend festzuhalten, dass der Beschwerdeführer aufgrund der Akten über keine Beziehungsnähe zur Schweiz verfügt, hingegen die Möglichkeit der anderweitigen Schutzsuche haben. Unter diesen Umständen hat die Vorinstanz dem Beschwerdeführer zu Recht die Erteilung der Einreisebewilligung verweigert und das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