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D-3830/2008 vom 5. Juli 2010</w:t>
      </w:r>
    </w:p>
    <w:p>
      <w:r>
        <w:t>Bundesverwaltungsgericht, 2010-07-05, DE</w:t>
      </w:r>
    </w:p>
    <w:p>
      <w:r>
        <w:rPr>
          <w:b/>
        </w:rPr>
        <w:t xml:space="preserve">Quelle: </w:t>
      </w:r>
      <w:r>
        <w:t>https://mcp.opencaselaw.ch/entscheid/bvger_D-3830_2008</w:t>
      </w:r>
    </w:p>
    <w:p>
      <w:r>
        <w:t>FR: TAF D-3830/2008 du 5 juillet 2010</w:t>
      </w:r>
    </w:p>
    <w:p>
      <w:r>
        <w:t>IT: TAF D-3830/2008 del 5 luglio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1.4</w:t>
      </w:r>
    </w:p>
    <w:p>
      <w:r>
        <w:t>Der Zeitpunkt der Eröffnung der angefochtenen Verfügung steht mangels Vorliegens einer Empfangsbestätigung nicht fest. Die Beschwerdeführer geben in ihren Eingaben vom 21. Juni 2008 beziehungsweise vom 30. Juni 2008 an, sie hätten die Verfügung des BFM am 9. Juni 2008 beziehungsweise am 6. Juni 2008 erhalten. Trotz diesen widersprüchlichen Angaben ist angesichts der Tatsache, dass die Beweislast für die Zustellung an die Partei der eröffnenden Behörde obliegt (vgl. Fritz Gygi, Bundesverwaltungsrechtspflege, 2. Aufl., Bern 1983, S. 61), zugunsten der Beschwerdeführer davon auszugehen, dass ihre am 30. Juni 2008 bei der schweizerischen Vertretung in Colombo eingelangte Beschwerde rechtzeitig erfolgt ist.</w:t>
      </w:r>
    </w:p>
    <w:p>
      <w:r>
        <w:rPr>
          <w:b/>
        </w:rPr>
        <w:t>E. 1.5</w:t>
      </w:r>
    </w:p>
    <w:p>
      <w:r>
        <w:t>Die Beschwerde ist demnach - mit Ausnahme des genannten sprachlichen Mangels -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Art. 50 und 52f. VwVG). Auf die Beschwerde ist einzutreten. Schliesslich ist die nach dem Erlass der Verfügung des BFM vom 8. Mai 2008 beim Bundesverwaltungsgericht eingegangene Eingabe der Beschwerdeführer vom 30. Mai 2008 (vgl. Sachverhalt, Bst. I) im Beschwerdeverfahren zu berücksichtigen.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In Anwendung von Art. 111a Abs. 1 AsylG hat das Bundesverwaltungsgericht auf die Durchführung eines Schriftenwechsels verzichtet.</w:t>
      </w:r>
    </w:p>
    <w:p>
      <w:r>
        <w:rPr>
          <w:b/>
        </w:rPr>
        <w:t>E. 3.1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3.2</w:t>
      </w:r>
    </w:p>
    <w:p>
      <w:r>
        <w:t>Im vorliegenden Fall wurde die Beschwerdeführerin von der schweizerischen Vertretung in Colombo zu ihrem am 3. August 2007 eingegangenen Asylgesuch vom 27. Juli 2007 nicht befragt; die Botschaft hielt dazu in ihrem Überweisungsschreiben vom 7. Dezember 2007 an das BFM fest, es sei von einer persönlichen Befragung der Beschwerdeführerin abgesehen worden, weil die vorgebrachten Gründe nach Ansicht der Botschaft voraussichtlich nicht zur Bewilligung der Einreise in die Schweiz führen würden; eigentliche Gründe, welche eine Anhörung verunmöglicht hätten, bringt die Botschaft demgegenüber nicht vor. Sie gab indessen der Beschwerdeführerin mit Schreiben vom 27. August 2007 Gelegenheit, ihre Asylgründe schriftlich zu präzisieren, was die Beschwerdeführerin mit ihrer Eingabe vom 10. September 2007 - sowie in der Folge mit weiteren Eingaben vom 27. Januar 2008 und vom 5. März 2008 - unter Einreichung zahlreicher Beweismittel denn auch tat. Damit ist zum einen der entscheidwesentliche Sachverhalt als abgeklärt zu bezeichnen und im Weiteren der erforderlichen Gewährung des rechtlichen Gehörs im Sinne der genannten Rechtsprechung des Bundesverwaltungsgerichts Genüge getan.</w:t>
      </w:r>
    </w:p>
    <w:p>
      <w:r>
        <w:rPr>
          <w:b/>
        </w:rPr>
        <w:t>E. 3.3</w:t>
      </w:r>
    </w:p>
    <w:p>
      <w:r>
        <w:t>Die Vorinstanz hat allerdings den Verzicht auf eine Befragung in der angefochtenen Verfügung nicht begründet, was vor dem Hintergrund von BVGE 2007/30 einer Verletzung des rechtlichen Gehörs gleichkommt. Angesichts des vorab deklaratorischen Charakters der diesbezüglichen Begründungspflicht und unter Berücksichtigung der Gegebenheiten des konkreten Einzelfalles erscheint die Gehörsverletzung indessen nicht schwerwiegend; insbesondere hat sie die Möglichkeit der Beschwerdeführerin, die Verfügung vom 8. Mai 2008 sachgerecht anfechten zu können, in keiner Weise beeinträchtigt. Eine Aufhebung der angefochtenen Verfügung aus formellen Gründen käme demnach einem blossen prozessualen Leerlauf gleich, weshalb der Mangel durch die im vorliegenden Beschwerdeentscheid nachgereichte Begründung als geheilt zu bezeichnen ist. Es bleibt somit im Folgenden zu prüfen, ob das Bundesamt das Asylgesuch in materieller Hinsicht zu Recht abgewiesen und den Beschwerdeführern die Einreise in die Schweiz verweigert hat.</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Das BFM hat in seiner Verfügung vom 8. Mai 2008 das Asylgesuch der Beschwerdeführer gestützt auf Art. 52 Abs. 2 AsylG abgewiesen und diesbezüglich ausgeführt, der Ehemann der Beschwerdeführerin sei von 2001 bis zu seiner Ermordung im Jahr 2006 bei der [...] Nichtregierungsorganisation E._______ angestellt gewesen, was auch für seine Angehörigen Beziehungungen und Bindungen zum Staat H._______ habe entstehen lassen. Auch wenn H._______ über kein formalisiertes Asyl- und Einreiseverfahren auf seiner Vertretung in Sri Lanka verfüge, sei es den Beschwerdeführern daher zuzumuten, dort ein Gesuch um Erteilung einer Einreisebewilligung einzureichen. In einem konkreten Fall hätten die [...] Behörden den Familienangehörigen eines ebenfalls beim Attentat von Muttur getöteten E._______-Mitarbeiters Asyl gewährt, woraus sich ergebe, dass nicht nur die faktische Möglichkeit bestehe, bei den [...] Behörden ein Gesuch um Aufnahme zu stellen, sondern dass einem solchen auch entsprochen werden könne. Die Beschwerdeführerin habe zwar angegeben, die [...] Botschaft in Colombo diesbezüglich kontaktiert zu haben, ohne indessen entsprechende Unterlagen vorzulegen; damit sei weder der angebliche Kontakt belegt, noch sei das BFM über eine allfällige Stellungnahme seitens der [...] Behörden informiert.</w:t>
      </w:r>
    </w:p>
    <w:p>
      <w:r>
        <w:rPr>
          <w:b/>
        </w:rPr>
        <w:t>E. 5.2</w:t>
      </w:r>
    </w:p>
    <w:p>
      <w:r>
        <w:t>Nach Prüfung der Akten gelangt das Bundesverwaltungsgericht zunächst zum Schluss, dass die Vorinstanz zutreffend festgestellt hat, die Beschwerdeführenden hätten in ihrem Gesuch keine besonders nahen Beziehungen zur Schweiz geltend gemacht; dies wird von den Beschwerdeführern selber denn auch nicht bestritten. Im Weiteren hat das Bundesamt zu Recht erwogen, dass es den Beschwerdeführern zuzumuten sei, in einem anderen Land um Asylgewährung nachzusuchen (vgl. Art. 52 Abs. 2 AsylG). Dabei steht namentlich H._______ im Vordergrund, da die Beschwerdeführer über die frühere berufliche Tätigkeit ihres Ehemannes/Vaters gewisse Bande zu diesem Staat geknüpft haben; es kann diesbezüglich zur Vermeidung von Wiederholungen vollumfänglich auf die Erwägungen des BFM in der angefochtenen Verfügung verwiesen werden. Bis zum Zeitpunkt des vorliegenden Entscheides scheinen sich die Beschwerdeführer indessen noch nicht an die [...] Behörden gewendet zu haben; aus ihrem mit Eingabe vom 20. Mai 2010 eingereichten Schreiben an das UNHCR vom 19. August 2009 ergibt sich lediglich eine Bitte an die Flüchtlingskommission, H._______ oder einen anderen europäischen Staat zur Gewährung von Asyl zu bewegen. Neben der Beziehung zu H._______ besteht sodann eine weitere zu Indien. So hat die Beschwerdeführerin in ihrer Eingabe vom 21. Mai 2009 ausgeführt, sie habe sich mit ihren Kindern "recently" für einige Zeit in diesem Staat aufgehalten, um den ihr in Sri Lanka drohenden Behelligungen zu entkommen. In ihrer Eingabe vom 10. Mai 2010 gab sie sodann an, sie habe sich mit ihren Kindern "from time to time" nach Indien begeben müssen, um sich in Sicherheit zu bringen. Auch wenn die Beschwerdeführerin - entgegen ihren Ausführungen in dieser Eingabe - keine Kopien der Reisepässe der Beschwerdeführer eingereicht hat, steht demnach fest, dass es den Beschwerdeführern offensichtlich möglich und auch zumutbar ist, sich in Indien um Schutz vor den geltend gemachten Verfolgungsmassnahmen zu bemühen. Dieser Staat hat zwar weder das Abkommen vom 28. Juli 1951 über die Rechtsstellung der Flüchtlinge (FK, SR 0.142.30) noch das diesbezügliche Zusatzprotokoll vom 31. Januar 1967 ratifiziert und verfügt auch über kein eigentliches nationales Asylrecht; die Rechte von Flüchtlingen und Asylsuchenden stehen jedoch unter dem Schutz der indischen Verfassung, und der indische Supreme Court hat 1996 ein landesrechtliches Non-Refoulement-Gebot für Flüchtlinge im Sinne der FK festgestellt. Nach den Erkenntnissen des Bundesverwaltungsgerichts ist es ferner - soweit tamilische Schutzsuchende betreffend - bislang zu keinen Verletzungen dieses Gebotes gekommen und das UNHCR, welches in Indien über kein offizielles Mandat verfügt, aber dennoch unter anderem in Chennai (Bundesstaat Tamil Nadu) mit einem Büro vor Ort ist, überprüft vor der Rückkehr von Tamilen nach Sri Lanka jeweils deren Freiwilligkeit.</w:t>
      </w:r>
    </w:p>
    <w:p>
      <w:r>
        <w:rPr>
          <w:b/>
        </w:rPr>
        <w:t>E. 5.3</w:t>
      </w:r>
    </w:p>
    <w:p>
      <w:r>
        <w:t>Nach dem Gesagten ist zusammenfassend festzuhalten, dass die Beschwerdeführer aufgrund der Akten über keine Beziehungsnähe zur Schweiz verfügen, hingegen die Möglichkeit der anderweitigen Schutzsuche haben. Unter diesen Umständen hat die Vorinstanz den Beschwerdeführern zu Recht die Erteilung der Einreisebewilligung verweigert und das Asylgesuch abgewiesen.</w:t>
      </w:r>
    </w:p>
    <w:p>
      <w:r>
        <w:rPr>
          <w:b/>
        </w:rPr>
        <w:t>E. 6</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7</w:t>
      </w:r>
    </w:p>
    <w:p>
      <w:r>
        <w:t>Bei diesem Ausgang des Verfahrens wären die Kosten von Fr. 600.-- an sich den Beschwerdeführern aufzuerlegen (Art. 63 Abs. 1 VwVG);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