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D-3822/2021 vom 3. November 2021</w:t>
      </w:r>
    </w:p>
    <w:p>
      <w:r>
        <w:t>Bundesverwaltungsgericht, 2021-11-03, DE</w:t>
      </w:r>
    </w:p>
    <w:p>
      <w:r>
        <w:rPr>
          <w:b/>
        </w:rPr>
        <w:t xml:space="preserve">Quelle: </w:t>
      </w:r>
      <w:r>
        <w:t>https://mcp.opencaselaw.ch/entscheid/bvger_D-3822_2021</w:t>
      </w:r>
    </w:p>
    <w:p>
      <w:r>
        <w:t>FR: TAF D-3822/2021 du 3 novembre 2021</w:t>
      </w:r>
    </w:p>
    <w:p>
      <w:r>
        <w:t>IT: TAF D-3822/2021 del 3 novembre 2021</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Zu den Anträgen zur Bildung des Spruchkörpers und den Ausführungen in der Eingabe vom 11. Oktober 2021 ist zu bemerken, dass den Beschwerdeführenden der Spruchkörper am 1. September 2021 mitgeteilt wurde. Im Übrigen ist zu bestätigen, dass der Spruchkörper im Auftrag des Abteilungspräsidiums durch eine Kanzleiperson gemäss Art. 31 Abs. 3 sowie Art. 32 Abs. 1 des Geschäftsreglements für das Bundesverwaltungsgericht vom 17. April 2008 (VGR, SR 173.320.1) unter Berücksichtigung objektiver Kriterien generiert wurde.</w:t>
      </w:r>
    </w:p>
    <w:p>
      <w:r>
        <w:rPr>
          <w:b/>
        </w:rPr>
        <w:t>E. 4.2</w:t>
      </w:r>
    </w:p>
    <w:p>
      <w:r>
        <w:t>Gemäss Art. 26 Abs. 1 VwVG haben die Partei oder ihr Vertreter Anspruch darauf, in ihrer Sache folgende Akten einzusehen: Eingaben von Parteien und Vernehmlassungen von Behörden (Bst. a), alle als Beweismittel dienenden Aktenstücke (Bst. b) und Niederschriften eröffneter Verfügungen (Bst. c). Die Software, mit welcher das Bundesverwaltungsgericht den Spruchkörper bestimmt, welcher die bei ihm eingereichten Rechtsmittel beurteilt, ist als solche keine das konkrete Verfahren betreffende Akte, in die Einsicht gewährt werden könnte. Der Antrag, es sei Einsicht in die Datei der Software zu gewähren, mit der die Bestimmung des Spruchkörpers vorgenommen worden sei, ist daher abzuweisen.</w:t>
      </w:r>
    </w:p>
    <w:p>
      <w:r>
        <w:rPr>
          <w:b/>
        </w:rPr>
        <w:t>E. 5.1</w:t>
      </w:r>
    </w:p>
    <w:p>
      <w:r>
        <w:t>In ihrer Eingabe vom 11. Oktober 2021 verlangen die Beschwerdeführenden die Auswechslung der zuständigen Instruktionsrichterin sowie des zuständigen Gerichtsschreibers, sofern die Zwischenverfügung vom 28. September 2021 nicht wiedererwägungsweise aufgehoben werde. Soweit damit ein Ausstandsbegehren gestellt wird, ist dieses abzuweisen, wobei die Frage, ob ein bedingtes Ausstandsbegehren überhaupt zulässig ist, offenbleiben kann.</w:t>
      </w:r>
    </w:p>
    <w:p>
      <w:r>
        <w:rPr>
          <w:b/>
        </w:rPr>
        <w:t>E. 5.2</w:t>
      </w:r>
    </w:p>
    <w:p>
      <w:r>
        <w:t>Gemäss Praxis kann eine Behörde selber über ihren Ausstand beziehungsweise denjenigen ihrer Mitglieder bestimmen, wenn die gestellten Ablehnungsbegehren von vornherein unzulässig oder offensichtlich unbegründet sind (vgl. Urteil des BVGer D-7915/2015 vom 5. Januar 2016 E. 1.2 m.H.a. Urteil des BGer 9C_513/2015 vom 9. Dezember 2015 E. 4.3). Dies ist vorliegend zu bejahen, zumal der Umstand, dass die Beschwerdeführenden die Ausführungen in der Zwischenverfügung vom 28. September 2021 für unzutreffend halten, offensichtlich keinen Ausstandsgrund darstellt.</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Die Beschwerdeführenden begründeten ihr Mehrfachgesuch damit, dass sie im ersten Asylverfahren noch davon ausgegangen seien, der Vater des Beschwerdeführers werde vor dem (Tribunal) gegen die (...) Schergen der UÇK aussagen, die (...) persönlich entführt hätten. Heute sei aber klar, dass er als zentraler Zeuge in einem Prozess gegen einen hochrangingen UÇK-Kommandanten aussagen werde. Daraus resultiere eine weitaus grössere Dimension, woraus sich eine hochgradige Gefährdung ergebe. Der Zeugenschutz im Kosovo sei absolut ungenügend und die Behörden seien weder schutzfähig noch schutzwillig.</w:t>
      </w:r>
    </w:p>
    <w:p>
      <w:r>
        <w:rPr>
          <w:b/>
        </w:rPr>
        <w:t>E. 7.2</w:t>
      </w:r>
    </w:p>
    <w:p>
      <w:r>
        <w:t>Das SEM begründete seine Verfügung damit, dass hinsichtlich der bisherigen Beurteilung einer begründeten Furcht vor Verfolgung vollumfänglich auf das Urteil D-1700/2020 zu verweisen sei. Aus dem eingereichten Schreiben des Deputy Specialist Prosecutor ergebe sich, dass die Identität des Vaters derzeit noch geheim sei und der Verteidigung des Kommandanten erst einen Monat vor Prozessbeginn bekannt gegeben werde. Ferner werde der Vater nicht öffentlich aussagen und seine Identität werde daher der breiten Öffentlichkeit nicht zugänglich gemacht. Die Zeugenschutzmassnahmen würden sich darauf beschränken, dass der Kommandant in Haft genommen worden sei. Somit gehe die Anklage von keiner akuten Gefährdung aus, ansonsten weitere Massnahmen ergriffen worden wären. Ferner würden sich die Familienangehörigen der Beschwerdeführenden ohne Sicherheitsvorkehrungen weiterhin im Kosovo befinden und es seien seit dem Urteil des Bundesverwaltungsgerichts vom 1. April 2020 keine Zwischenfälle gegenüber dem Vater oder den Brüdern des Beschwerdeführers aktenkundig. Aus dem Umstand, dass es gegenüber anderen Zeugen zu Repressalien gekommen sei, lasse sich nicht unbesehen darauf schliessen, dass es auch gegenüber dem Vater und seinen Familienangehörigen zu ebensolchen kommen werde.</w:t>
      </w:r>
    </w:p>
    <w:p>
      <w:r>
        <w:rPr>
          <w:b/>
        </w:rPr>
        <w:t>E. 7.3</w:t>
      </w:r>
    </w:p>
    <w:p>
      <w:r>
        <w:t>In der Beschwerdeschrift wurde vorgebracht, das SEM habe den Anspruch auf rechtliches Gehör verletzt, da die neu vorgebrachte Sachlage nicht korrekt geprüft worden sei. Das SEM verkenne die Gefährdung von Zeugen und negiere diese pauschal. Ferner werde die Einholung weiterer Informationen beim Deputy Specialist Prosecutor mit der unzutreffenden Begründung abgelehnt, das Verfahren werde grundsätzlich schriftlich geführt. Dies verletze die Begründungspflicht. Das SEM habe zudem die Wichtigkeit des Vaters im Strafverfahren respektive die hohe Bedeutung seiner Zeugenaussage und die Reflexverfolgungsgefahr nicht ermittelt, und verkenne die Gefährdung von Zeugen, die sich aus einschlägigen Länderberichten ergebe, wodurch der Sachverhalt unzureichend festgestellt worden sei. In materieller Hinsicht wurde eingewendet, der Vater des Beschwerdeführers sei Schlüsselzeuge im Anklagepunkt "Mord", da nur er - und allenfalls (...) des Beschwerdeführers - diesen Anklagepunkt substantiieren könnten. Aus den Länderinformationen ergebe sich, dass sowohl Zeugen als auch ihre Familienangehörigen an Leib und Leben gefährdet seien und von einem kompletten Schutzunwillen der kosovarischen Behörden auszugehen sei. Diese Sachlage werde von der Vorinstanz ignoriert.</w:t>
      </w:r>
    </w:p>
    <w:p>
      <w:r>
        <w:rPr>
          <w:b/>
        </w:rPr>
        <w:t>E. 8.1</w:t>
      </w:r>
    </w:p>
    <w:p>
      <w:r>
        <w:t>In der Beschwerde werden formelle Rügen erhoben. Diese sind vorab zu beurteilen, da sie allenfalls geeignet wären, eine Kassation der vorinstanzlichen Verfügung zu bewirken.</w:t>
      </w:r>
    </w:p>
    <w:p>
      <w:r>
        <w:rPr>
          <w:b/>
        </w:rPr>
        <w:t>E. 8.2</w:t>
      </w:r>
    </w:p>
    <w:p>
      <w:r>
        <w:t>Vorliegend ist weder auf eine Verletzung der Begründungspflicht (vgl. BVGE 2016/9 E. 5.1) noch auf eine unrichtige oder unvollständige Sachverhaltsfeststellung (vgl. BVGE 2016/2 E. 4.3) zu schliessen. In Bezug auf die Begründungspflicht gilt es anzumerken, dass das SEM in seiner Verfügung hinreichend darlegt, weshalb es die Flüchtlingseigenschaft bei der aktuellen Lage verneint und eine Rückkehr der Beschwerdeführenden für zulässig, zumutbar und möglich erachtet. Daran vermag auch nichts zu ändern, dass das SEM auch auf die Erwägungen und Schlussfolgerungen im ordentlichen Verfahren verwies, zumal die neu geltend gemachte Verfolgungssituation eng an die bisherigen Vorbringen anknüpft und auf die angeblich veränderte Sachlage genügend eingegangen wird. Der Sachverhalt wurde vom SEM auch vollständig sowie richtig abgeklärt und auf eine Beschaffung ergänzender Informationen beim Deputy Specialist Prosecutor wurde zu Recht verzichtet. In diesen Rügen wird insbesondere verkannt, dass die darin aufgeworfene Frage, ob die angefochtene Verfügung inhaltlich richtig ist, nicht die Begründungsflicht oder die Sachverhaltsermittlung, sondern vielmehr die materielle Beurteilung beschlägt. Soweit Verfahrensfehler im ordentlichen Asylverfahren moniert werden, insbesondere die mangelhafte Übersetzung und Würdigung eingereichter Beweismittel, ist darauf vorliegend nicht weiter einzugehen, zumal dies Gegenstand des ersten Beschwerdeverfahrens war.</w:t>
      </w:r>
    </w:p>
    <w:p>
      <w:r>
        <w:rPr>
          <w:b/>
        </w:rPr>
        <w:t>E. 9</w:t>
      </w:r>
    </w:p>
    <w:p>
      <w:r>
        <w:t>Der Sachverhalt ist als hinreichend erstellt zu erachten, weshalb die Beweisanträge, beim Specialist Prosecutor's Office und Experten weitere Auskünfte einzuholen oder ein Gutachten in Auftrag zu geben, abzuweisen sind.</w:t>
      </w:r>
    </w:p>
    <w:p>
      <w:r>
        <w:rPr>
          <w:b/>
        </w:rPr>
        <w:t>E. 10.1</w:t>
      </w:r>
    </w:p>
    <w:p>
      <w:r>
        <w:t>Bereits im ersten Asylverfahren brachten die Beschwerdeführenden vor, sie hätten aufgrund der Aussagen des Vaters gegenüber den Polizeibehörden der United Nations Interim Administration Mission (UNMIK) und dem Specialist Prosecutor's Office des (Tribunals) sowie des bevorstehenden Auftretens des Vaters als Zeuge vor Gericht begründete Furcht, an Leib und Leben bedroht zu sein. Dies wurde mit Urteil des Bundesverwaltungsgerichts D-1700/2020 vom 1. April 2020 rechtskräftig verneint.</w:t>
      </w:r>
    </w:p>
    <w:p>
      <w:r>
        <w:rPr>
          <w:b/>
        </w:rPr>
        <w:t>E. 10.2</w:t>
      </w:r>
    </w:p>
    <w:p>
      <w:r>
        <w:t>Vorliegend handelt es sich im Wesentlichen um dieselben, bereits rechtskräftig beurteilten Asylgründe, nämlich eine Reflexverfolgungsgefahr wegen der Involvierung des Vaters als Zeuge vor dem (Tribunal)l. Neu ist einzig, dass gemäss den Beschwerdeführenden am (...) gegen einen U K-Kommandanten Anklage erhoben worden sei, dieser am (...) verhaftet worden sei und der Vater nunmehr vor Gericht als Zeuge aussagen werde. Die neue Entwicklung bestehe - so die Beschwerdeführenden - darin, dass tatsächlich gegen einen hochrangingen ehemaligen U K-Exponenten Anklage erhoben worden sei und dem entsprechenden Prozess eine grosse Signal- und Präzedenzwirkung zukomme. Damit wird - wie bereits im ersten Asylverfahren - lediglich eine abstrakte Gefährdung geltend gemacht, ohne dass dies - wiederum analog zu den Feststellungen im Verfahren D-1700/2020 - zu konkreten, gezielt gegen die Beschwerdeführenden und ihre Familie gerichteten asylrelevanten Massnahmen geführt hätte. So wurde das Mehrfachgesuch vom 25. Juni 2021 einzig mit dieser abstrakten Gefahr begründet. Die auf Beschwerdeebene nachgeschobene Schilderung der Bedrohungslage der im Kosovo verbliebenen Angehörigen ist aufgrund der späten Geltendmachung sowie der fehlenden Substanz nicht glaubhaft. Das Vorbringen beschränkt sich auf die vage Behauptung, dass die Beschwerdeführenden indirekt erfahren hätten, dass der Druck auf die Familie des Beschwerdeführers massiv zugenommen habe und sich sein jüngerer Bruder fast ausschliesslich zuhause aufhalte, ohne diese Zunahme des Drucks auch nur annähernd greifbar zu machen. In diesem Zusammenhang nicht nachvollziehbar ist auch, dass der Vater gemäss Beschwerdeschrift zwar hochgradig an Leib, Leben und Freiheit gefährdet sein soll, gegen ihn aber, soweit aus den Akten ersichtlich, bisher keinerlei Repressalien ergriffen worden sind. Die dafür beiläufig abgegebene Erklärung, wonach der Vater nicht habe belangt werden können beziehungsweise dieser sich unbeeindruckt gegenüber Einschüchterungsversuchen gezeigt habe, überzeugt nicht. Somit erschöpft sich die nunmehr vorgetragene Gefährdung im Kern einzig in der abstrakten Gefahr einer Reflexverfolgung aufgrund des Zeugenstatus des Vaters und des mangelnden staatlichen Schutzes der kosovarischen Behörden, was bereits Gegenstand des abgeschlossenen Asylverfahrens gewesen ist, während neue Entwicklungen im Sinne von tatsächlich den Beschwerdeführenden und ihren Familienangehörigen widerfahrenen Vorkommnissen nicht (substanzvoll) vorgetragen wurden. In diesem Punkt erschöpft sich das Mehrfachgesuch somit in einer appellatorischen Kritik am Urteil des BVGer D-1700/2020.</w:t>
      </w:r>
    </w:p>
    <w:p>
      <w:r>
        <w:rPr>
          <w:b/>
        </w:rPr>
        <w:t>E. 10.3</w:t>
      </w:r>
    </w:p>
    <w:p>
      <w:r>
        <w:t>Den Beschwerdeführenden gelingt es damit nicht, eine Furcht vor Verfolgung aufgrund der neuen Sachverhaltselemente als objektiv begründet erscheinen zu lassen, weshalb das SEM das Mehrfachgesuch zu Recht abgelehnt hat.</w:t>
      </w:r>
    </w:p>
    <w:p>
      <w:r>
        <w:rPr>
          <w:b/>
        </w:rPr>
        <w:t>E. 11.1</w:t>
      </w:r>
    </w:p>
    <w:p>
      <w:r>
        <w:t>Lehnt das SEM das Asylgesuch ab oder tritt es darauf nicht ein, so verfügt es in der Regel die Wegweisung aus der Schweiz und ordnet den Vollzug an; es berücksichtigt dabei den Grundsatz der Einheit der Familie (Art. 44 AsylG).</w:t>
      </w:r>
    </w:p>
    <w:p>
      <w:r>
        <w:rPr>
          <w:b/>
        </w:rPr>
        <w:t>E. 11.2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12.1</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AlG). Gemäss Art. 83 Abs. 4 AlG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AlG - die vorläufige Aufnahme zu gewähren. Der Vollzug ist schliesslich nicht möglich, wenn die Ausländerin oder der Ausländer weder in den Heimat- oder in den Herkunftsstaat noch in einen Drittstaat ausreisen oder dorthin gebracht werden kann (Art. 83 Abs. 2 AlG).</w:t>
      </w:r>
    </w:p>
    <w:p>
      <w:r>
        <w:rPr>
          <w:b/>
        </w:rPr>
        <w:t>E. 12.2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12.3</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w:t>
      </w:r>
    </w:p>
    <w:p>
      <w:r>
        <w:rPr>
          <w:b/>
        </w:rPr>
        <w:t>E. 12.4</w:t>
      </w:r>
    </w:p>
    <w:p>
      <w:r>
        <w:t>Mit Urteil des Bundesverwaltungsgerichts D-1700/2020 vom 1. April 2020 wurde der Wegweisungsvollzug letztmals für zumutbar befunden. Neue Entwicklungen, welche gegen die Zumutbarkeit sprechen würden, wurden weder substanziiert geltend gemacht noch sind sie aus den Akten ersichtlich.</w:t>
      </w:r>
    </w:p>
    <w:p>
      <w:r>
        <w:rPr>
          <w:b/>
        </w:rPr>
        <w:t>E. 12.5</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12.6</w:t>
      </w:r>
    </w:p>
    <w:p>
      <w:r>
        <w:t>Zusammenfassend hat die Vorinstanz den Wegweisungsvollzug zu Recht als zulässig, zumutbar und möglich bezeichnet. Eine Anordnung der vorläufigen Aufnahme fällt somit ausser Betracht (Art. 83 Abs. 1-4 AIG).</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14.1</w:t>
      </w:r>
    </w:p>
    <w:p>
      <w:r>
        <w:t>Der Antrag auf wiedererwägungsweise Gewährung der unentgeltlichen Prozessführung gemäss Art. 65 Abs. 1 VwVG ist abzuweisen, zumal in der Eingabe vom 11. Oktober 2021 keine Gründe vorgebracht wurden, weshalb auf die in der Zwischenverfügung vom 28. September 2021 gemachte Feststellung der Aussichtslosigkeit zurückzukommen wäre.</w:t>
      </w:r>
    </w:p>
    <w:p>
      <w:r>
        <w:rPr>
          <w:b/>
        </w:rPr>
        <w:t>E. 14.2</w:t>
      </w:r>
    </w:p>
    <w:p>
      <w:r>
        <w:t>Bei diesem Ausgang des Verfahrens sind die Kosten den Beschwerdeführenden aufzuerlegen (Art. 63 Abs. 1 VwVG) und auf insgesamt Fr. 1'500.- festzusetzen (Art. 1-3 des Reglements vom 21. Februar 2008 über die Kosten und Entschädigungen vor dem Bundesverwaltungsgericht [VGKE, SR 173.320.2]). Für deren Begleichung ist der in gleicher Höhe geleistete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