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D-3819/2009 vom 3. August 2009</w:t>
      </w:r>
    </w:p>
    <w:p>
      <w:r>
        <w:t>Bundesverwaltungsgericht, 2009-08-03, DE</w:t>
      </w:r>
    </w:p>
    <w:p>
      <w:r>
        <w:rPr>
          <w:b/>
        </w:rPr>
        <w:t xml:space="preserve">Quelle: </w:t>
      </w:r>
      <w:r>
        <w:t>https://mcp.opencaselaw.ch/entscheid/bvger_D-3819_2009</w:t>
      </w:r>
    </w:p>
    <w:p>
      <w:r>
        <w:t>FR: TAF D-3819/2009 du 3 août 2009</w:t>
      </w:r>
    </w:p>
    <w:p>
      <w:r>
        <w:t>IT: TAF D-3819/2009 del 3 agosto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108 Abs. 1 AsylG; Art. 6 AsylG i.V.m. Art. 48 Abs. 1 und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(vgl.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inbesondere dann nicht der Fall ist, wenn sie ihre Vorbringen auf gefälschte oder verfälschte Beweismittel abstützt (vgl. Art. 7 AsylG). Entscheidend ist, ob eine Gesamtwürdigung der Vorbringen ergibt, dass die Gründe, die für die Richtigkeit der Sachverhaltsdarstellung des Gesuchstellers sprechen, überwiegen oder nicht (vgl. Entscheidungen und Mitteilungen der Schweizerischen Asylrekurskommission [EMARK] 2004 Nr. 1 E. 5 S. 4 ff., mit weiteren Hinweisen).</w:t>
      </w:r>
    </w:p>
    <w:p>
      <w:r>
        <w:rPr>
          <w:b/>
        </w:rPr>
        <w:t>E. 5.1</w:t>
      </w:r>
    </w:p>
    <w:p>
      <w:r>
        <w:t>Aufgrund der Akten erweisen sich die vorinstanzlichen Erwägungen als zutreffend. Zur Vermeidung von Wiederholungen kann daher vorab auf die nicht zu beanstanden Ausführungen des BFM in der angefochtenen Verfügung verwiesen werden. Der Rechtsmitteleingabe sind keine stichhaltigen Entgegnungen zu entnehmen, welche die Argumentation des BFM in Zweifel zu ziehen vermöchten. Dem Beschwerdeführer wurde bereits mit Zwischenverfügung vom 18. Juni 2009 dargelegt, weshalb seine Vorbringen in der Beschwerde - da aussichtslos - keine Änderung in der Frage der Flüchtlingseigenschaft (und Durchführbarkeit des Wegweisungsvollzugs) zu bewirken vermögen. Eine Änderung der Sachlage hinsichtlich der Begehren ist zwischenzeitlich nicht eingetreten, so dass daher ebenfalls auf die Ausführungen in der erwähnten Zwischenverfügung verwiesen werden kann.</w:t>
      </w:r>
    </w:p>
    <w:p>
      <w:r>
        <w:rPr>
          <w:b/>
        </w:rPr>
        <w:t>E. 5.1.1</w:t>
      </w:r>
    </w:p>
    <w:p>
      <w:r>
        <w:t>Der Einschätzung des BFM, an den vom Beschwerdeführer geltend gemachten Ausreisegründen bestünden ernsthafte Zweifel, ist beizupflichten. Eine Überprüfung der Akten ergibt, dass die Vorbringen kein stimmiges Bild vermitteln. Das BFM hat aus zutreffenden Gründen die Vorbringen des Beschwerdeführers als den Anforderungen an die Glaubhaftigkeit nicht genügend qualifiziert. Die Ausführungen in der Beschwerde, welche sich im Wesentlichen in einer Wiederholung der bereits im vorinstanzlichen Verfahren geltend gemachten Vorbringen erschöpfen, sind nicht geeignet, die aufgezeigten Widersprüche und Ungereimtheiten zu entkräften, die mangelnden Realkennzeichen zu substanziieren und die Vorbringen glaubhafter erscheinen zu lassen. Hätte der Beschwerdeführer das Geschilderte tatsächlich so erlebt, wäre insbesondere nicht verständlich, dass er hinsichtlich der zeitlichen Einordnung der angeblichen Gerichtsverhandlungen zunächst gar keine und auf Nachfragen hin nur sehr vage Angaben zu machen vermochte (vgl. A1 S. 5, A14 S. 5) und sich zudem zur Anzahl der Gerichtsverhandlungen wiederholt widersprüchlich äusserte (vgl. A14 S. 4: zwei; A14 S. 6: zehn; Beschwerdeschrift: zirka vier). Zudem machte der Beschwerdeführer auch zum Zustandekommen der Gerichtsverfahren widersprüchliche Angaben, indem er im Rahmen der Bundesanhörung betonte, dass jeweils er beziehungsweise seine Familie und nicht die Gegenpartei die Gerichtsverhandlungen angestrebt hätten (vgl. A14 S. 7), wohingegen er in der Beschwerdeeingabe ausführte, die Gerichtsverhandlungen hätten auf Initiative der Angreifer, die ihn jeweils angezeigt hätten, stattgefunden. Angesichts der Tatsache, dass es sich bei Gerichtsverhandlungen, welche durch entsprechende Vorladungen angekündigt werden, um einschneidende, nicht alltägliche Ereignisse handelt, ist es nicht verständlich, dass der Beschwerdeführer nicht in der Lage war, diese zeitlich klarer einzuordnen und insbesondere zur Anzahl und zu deren Veranlassung eindeutige Angaben zu machen. Zudem ist der Vorinstanz auch beizupflichten, wonach die Vorlage entsprechender Beweisdokumente zu erwarten gewesen wäre. Die diesbezügliche Erklärung in der Beschwerdeschrift, Gerichtsvorladungen und schriftliche Bussenverfügungen hätten zwar existiert, diese seien jedoch beim Verkauf des Hauses vernichtet worden, und die Eltern hätten überdies nicht gedacht, dass die Dokumente in einem allfälligen Asylverfahren wichtig sein könnten, vermag nicht zu überzeugen. Aufgrund des früheren Aufenthalts der Familie als Asylbewerber in E._______ ist durchaus davon auszugehen, dass ihnen die Wichtigkeit solcher Dokumente als Beweismittel in einem Asylverfahren bekannt gewesen sein dürfte. Im Übrigen steht die betreffende Erklärung im Widerspruch zu den Angaben des Beschwerdeführers anlässlich der Bundesanhörung, wonach er nie schriftliche Urteile erhalten habe, sondern ihm das Bussgeld jeweils nur mündlich mitgeteilt worden sei und er bezüglich der Vorladungen keine Ahnung habe, wo sich diese befänden (vgl. A14 S. 6).</w:t>
      </w:r>
    </w:p>
    <w:p>
      <w:r>
        <w:rPr>
          <w:b/>
        </w:rPr>
        <w:t>E. 5.1.2</w:t>
      </w:r>
    </w:p>
    <w:p>
      <w:r>
        <w:t>Unabhängig von der Prüfung der Glaubhaftigkeit der Vorbringen des Beschwerdeführers stellt sich zudem die Frage, ob diese überhaupt geeignet sind, eine asylrechtlich relevante Verfolgung zu begründen. Nach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dem Asylsuchenden gezielt und aufgrund bestimmter Verfolgungsmotive drohen oder zugefügt worden sein (vgl. EMARK 2005 Nr. 21 E. 7 S. 193). Vorliegend fehlt es den vom Beschwerdeführer geltend gemachten Übergriffen von Seiten privater Dritter vorweg an der geforderten Intensität. Verfolgung durch Private ist zudem nur dann asylrelevant, wenn die verfolgte Person nicht auf den Schutz der Behörden des Heimatstaates zählen kann. Mit dem Grundsatzentscheid der vormaligen Schweizerischen Asylrekurskom-mission vom 8. Juni 2006 wurde im schweizerischen Asylrecht die sogenannte Schutztheorie anerkannt. Demnach hängt Verfolgung im flüchtlingsrechtlichen Sinne nicht mehr von der Frage ihres Urhebers, sondern vom Vorhandensein adäquaten Schutzes durch den Heimatstaat ab. Nach dieser heute massgeblichen Theorie kann eine Verfolgung durch nichtstaatliche Akteure flüchtlingsrechtlich relevant sein. Diese setzt aber - auf Grund der Subsidiarität des flüchtlings-rechtlichen Schutzes - voraus, dass es der betroffenen Person nicht möglich ist, im Heimatland davor Schutz zu finden. Der Schutz ist dann als ausreichend zu qualifizieren, wenn die betroffene Person effektiv Zugang zu einer funktionierenden Infrastruktur hat und ihr deren Inanspruchnahme zumutbar ist, wobei von einem Staat nicht erwartet werden kann, dass er jederzeit präventiv in alle Lebensbereiche seiner Bürger eingreifen kann (vgl. EMARK 2006 Nr. 18). Vorliegend ist von einem adäquaten staatlichen Schutz für den Beschwerdeführer auszugehen. Der Vorinstanz ist diesbezüglich beizupflichten, wonach die Vorbringen des Beschwerdeführers den Anforderungen an die Flüchtlingseigenschaft gemäss Art. 3 AsylG mit Blick auf die derzeitige Situation der Roma in Serbien nicht standzuhalten vermögen. Zwar können vereinzelte Übergriffe von Seiten Dritter auf Angehörige der Roma nicht restlos ausgeschlossen werden, doch geht das Bundesverwaltungsgericht in Übereinstimmung mit dem BFM davon aus, der Staat billige oder unterstütze solche Behelligungen in keiner Weise und erweise sich als schutzwillig und schutzfähig. Die Schilderungen des Beschwerdeführers zeigen, dass er Zugang zur bestehenden örtlichen Schutz-Infrastruktur hatte. Die Polizei hat seine Anzeigen entgegengenommen und Gerichtsverfahren wurden - gemäss seinen Ausführungen in der Bundesanhörung auf sein Bestreben hin (vgl. A14 S. 7) - eingeleitet. Dass diese nicht mit der angestrebten Verurteilung der Angreifer geendet hätten, kann nicht zur Annahme eines mangelnden Schutzwillens des serbischen Staates führen. Sollte es zu behördlichen Ermittlungsmassnahmen gegen den Beschwerdeführer selbst gekommen sein, so ist festzuhalten, dass solche - selbst wenn sie auf falschen Anschuldigungen beruhten - für sich allein keine asylrelevanten Nachteile darstellen. Selbst wenn die Angreifer ihrerseits Anzeige gegen den Beschwerdeführer erstattet haben sollten, ist daraus keine Verfolgungsabsicht der Behörden aus politischen Gründen ersichtlich. Fälschlicherweise Angeschuldigte haben grundsätzlich die Möglichkeit, sich im Rahmen der eingeleiteten Verfahren dagegen zur Wehr zu setzen und gegebenenfalls Entscheide unterer Instanzen bei den höheren Instanzen anzufechten. Schliesslich vermag auch der Hinweis auf die allgemein schwierige wirtschaftliche Lage im Heimatstaat - insbesondere hinsichtlich der Arbeitsmarktsituation - den Anforderungen an eine asylrelevante begründete, individuelle Verfolgung im Sinne von Art. 3 AsylG nicht zu genügen.</w:t>
      </w:r>
    </w:p>
    <w:p>
      <w:r>
        <w:rPr>
          <w:b/>
        </w:rPr>
        <w:t>E. 5.2</w:t>
      </w:r>
    </w:p>
    <w:p>
      <w:r>
        <w:t>Nach dem Gesagten gelingt es dem Beschwerdeführer insgesamt nicht, die Flüchtlingseigenschaft gemäss Art. 3 AsylG nachzuweisen oder zumindest glaubhaft zu machen, weshalb das Bundesamt das Asylgesuch zu Recht abgelehnt hat.</w:t>
      </w:r>
    </w:p>
    <w:p>
      <w:r>
        <w:rPr>
          <w:b/>
        </w:rPr>
        <w:t>E. 6.1</w:t>
      </w:r>
    </w:p>
    <w:p>
      <w:r>
        <w:t>Lehnt das Bundesamt das Asylgesuch ab oder tritt es darauf nicht ein, so verfügt es in der Regel die Wegweisung aus der Schweiz und ordnet den Vollzug an (Art. 44 Abs. 1 AsylG).</w:t>
      </w:r>
    </w:p>
    <w:p>
      <w:r>
        <w:rPr>
          <w:b/>
        </w:rPr>
        <w:t>E. 6.2</w:t>
      </w:r>
    </w:p>
    <w:p>
      <w:r>
        <w:t>Der Beschwerdeführer verfügt weder über eine ausländerrechtliche Aufenthaltsbewilligung noch über einen Anspruch auf Erteilung einer solchen. Die verfügte Wegweisung steht im Einklang mit den gesetzlichen Bestimmungen und wurde demnach vom BFM zu Recht angeordnet (Art. 44 Abs. 1 AsylG; vgl. EMARK 2001 Nr. 21).</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Keine Person darf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welche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Serbien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Dies ist vorliegend nicht der Fall. Auch die allgemeine Menschenrechtssituation im Heimatstaat lässt den Wegweisungsvollzug nicht als unzulässig erscheinen.</w:t>
      </w:r>
    </w:p>
    <w:p>
      <w:r>
        <w:rPr>
          <w:b/>
        </w:rPr>
        <w:t>E. 7.1.3</w:t>
      </w:r>
    </w:p>
    <w:p>
      <w:r>
        <w:t>Nach dem Gesagten ist der Vollzug der Wegweisung sowohl im Sinne der asyl- als auch der völkerrechtlichen Bestimmungen zulässig.</w:t>
      </w:r>
    </w:p>
    <w:p>
      <w:r>
        <w:rPr>
          <w:b/>
        </w:rPr>
        <w:t>E. 7.2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7.2.1</w:t>
      </w:r>
    </w:p>
    <w:p>
      <w:r>
        <w:t>Die allgemeine Lage in Serbien - das vom Bundesrat mit Beschluss vom 1. April 2009 als "safe country" im Sinne von Art. 6a Abs. 2 Bst. a AsylG bezeichnet worden ist - ist weder von Bürgerkrieg noch von allgemeiner Gewalt gezeichnet, so dass der Vollzug der Wegweisung dorthin grundsätzlich zumutbar erscheint. Zwar können Übergriffe von Privatpersonen auf Angehörige der Roma und teilweise behördliche Schikanen sowie Diskriminierungen nicht völlig ausgeschlossen werden. Indessen erreichen diese im Allgemeinen nicht ein Ausmass, das den Vollzug der Wegweisung in jedem Fall als unzumutbar erscheinen liesse. Zudem ist C._______ als eine von vielen Volksgruppen bewohnte Region bekannt, in welcher das Zusammenleben im Allgemeinen als friedlich bezeichnet werden kann. Somit ist die Rückkehr des Beschwerdeführers dorthin grundsätzlich zumutbar. Eine Situation, welche ihn als de-facto-Flüchtling qualifizieren würde, lässt sich aufgrund der heutigen Lage in Serbien nicht bejahen.</w:t>
      </w:r>
    </w:p>
    <w:p>
      <w:r>
        <w:rPr>
          <w:b/>
        </w:rPr>
        <w:t>E. 7.2.2</w:t>
      </w:r>
    </w:p>
    <w:p>
      <w:r>
        <w:t>Es sind auch keine individuellen Gründe ersichtlich, welche die Rückkehr des Beschwerdeführers als unzumutbar erscheinen lassen würden. In den Akten finden sich auch keine konkreten Anhaltspunkte dafür, dass er aus Gründen wirtschaftlicher, sozialer oder gesundheitlicher Natur in eine existenzbedrohende Situation geraten würde. Der (...) und soweit aktenkundig gesunde Beschwerdeführer hat seit dem Jahr (...) - nach der Rückschaffung aus E._______ - bis zur Ausreise am 20. Dezember 2008 mit seiner Familie in B._______ gelebt und ist somit mit den dortigen Verhältnissen vertraut. Gemäss eigenen Angaben hat er mit (...) gehandelt (vgl. A14 S. 3) und war während zirka (Dauer) in einer Lehre als (...) (vgl. A1 S. 2). Neben seiner Muttersprache Rom spricht er fliessend (...) und etwas (...) (vgl. A1 S. 3). Zudem sei die Familie gelegentlich von Verwandten aus E._______ finanziell unterstützt worden (vgl. A14 S. 3). Die Asylgesuche der Eltern und Geschwister des Beschwerdeführers hat das BFM mit separaten Verfügungen abgelehnt und deren Wegweisung sowie den Vollzug angeordnet. Da das Bundesverwaltungsgericht auf die dagegen erhobenen Beschwerden infolge Nichtbezahlens der erhobenen Kostenvorschüsse mit Urteilen vom heutigen Tag nicht eintritt ({Verfahrensnummern}), wird der Beschwerdeführer zusammen mit seiner Familie in den Heimatstaat zurückreisen können. Es ist nicht in Abrede zu stellen, dass er im Heimatstaat mit gewissen Schwierigkeiten konfrontiert werden kann. Mit seiner ebenfalls zurückkehrenden Familie verfügt er jedoch über ein Beziehungsnetz und es ist davon auszugehen, dass er auch in Zukunft auf deren Unterstützung und allenfalls auch auf diejenige von im Ausland lebenden Verwandten zählen kann. Zudem stellen blosse soziale und wirtschaftliche Schwierigkeiten, wie namentlich der Mangel an Arbeitsplätzen, von welchen die ansässige Bevölkerung betroffen ist, keine existenzbedrohende Situation dar, welche den Vollzug der Wegweisung in den Heimatstaat als unzumutbar erscheinen liessen (vgl. EMARK 2005 Nr. 24 E. 10.1 S. 215), weshalb auch allfällige wirtschaftliche Reintegrationsschwierigkeiten des Beschwerdeführers dem Vollzug nicht entgegenstehen. Insgesamt ist angesichts des noch jungen Alters des Beschwerdeführers und aufgrund des kurzzeitigen Auslandaufenthalts in der Schweiz davon auszugehen, dass sich keine unüberwindlichen Probleme für ihn ergeben werden, sich wieder - mit Hilfe seiner Familie - in den Alltag im Heimatland einzufügen.</w:t>
      </w:r>
    </w:p>
    <w:p>
      <w:r>
        <w:rPr>
          <w:b/>
        </w:rPr>
        <w:t>E. 7.2.3</w:t>
      </w:r>
    </w:p>
    <w:p>
      <w:r>
        <w:t>Nach dem Gesagten erweist sich der Vollzug der Wegweisung sowohl in genereller als auch in individueller Hinsicht als zumutbar.</w:t>
      </w:r>
    </w:p>
    <w:p>
      <w:r>
        <w:rPr>
          <w:b/>
        </w:rPr>
        <w:t>E. 7.3</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7.4</w:t>
      </w:r>
    </w:p>
    <w:p>
      <w:r>
        <w:t>Insgesamt ist die durch die Vorinstanz verfügte Wegweisung zu bestätigen. Das BFM hat deren Vollzug zu Recht als zulässig, zumutbar und möglich erachtet. Eine Anordnung der vorläufigen Aufnahme fällt damit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somit abzuweisen.</w:t>
      </w:r>
    </w:p>
    <w:p>
      <w:r>
        <w:rPr>
          <w:b/>
        </w:rPr>
        <w:t>E. 9</w:t>
      </w:r>
    </w:p>
    <w:p>
      <w:r>
        <w:t>Bei diesem Ausgang des Verfahrens sind dessen Kosten dem Beschwerdeführer aufzuerlegen (Art. 63 Abs. 1 und 5 VwVG). Sie sind auf insgesamt Fr. 600.- festzusetzen (Art. 1-3 des Reglements vom 21. Februar 2008 über die Kosten und Entschädigungen vor dem Bundesverwaltungsgericht [VGKE, SR 173.320.2]) und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