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D-3818/2024 vom 21. Mai 2024</w:t>
      </w:r>
    </w:p>
    <w:p>
      <w:r>
        <w:t>Bundesverwaltungsgericht, 2024-05-21, DE</w:t>
      </w:r>
    </w:p>
    <w:p>
      <w:r>
        <w:rPr>
          <w:b/>
        </w:rPr>
        <w:t xml:space="preserve">Quelle: </w:t>
      </w:r>
      <w:r>
        <w:t>https://mcp.opencaselaw.ch/entscheid/bvger_D-3818_2024_d20240521</w:t>
      </w:r>
    </w:p>
    <w:p>
      <w:r>
        <w:t>FR: TAF D-3818/2024 du 21 mai 2024</w:t>
      </w:r>
    </w:p>
    <w:p>
      <w:r>
        <w:t>IT: TAF D-3818/2024 del 21 maggio 2024</w:t>
      </w:r>
    </w:p>
    <w:p>
      <w:pPr>
        <w:pStyle w:val="Heading2"/>
      </w:pPr>
      <w:r>
        <w:t>Regeste</w:t>
      </w:r>
    </w:p>
    <w:p>
      <w:r>
        <w:t>Asyl und Wegweisung | Asyl und Wegweisung; Verfügung des SEM vom 21.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D-3818/2024 Seite 5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Beschwerdeschrift wird einzig die Kassation und Rückweisung der Sache aus formellen Gründen, wegen Verletzung des rechtlichen Ge- hörs sowie einer unvollständigen und unrichtigen Abklärung des rechtser- heblichen Sachverhalts, beantragt.</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w:t>
      </w:r>
    </w:p>
    <w:p>
      <w:r>
        <w:t>D-3818/2024 Seite 6 schlagen muss (vgl. BVGE 2011/37 E. 5.4.1 m.w.H.). Der Anspruch auf rechtliches Gehör umfasst diverse Teilgehalte, unter anderem auch das Recht auf Anhörung (Art. 30 Abs. 1 VwVG). Die Anhörung stellt nicht nur ein persönlichkeitsbezogenes Mitwirkungsrecht der asylsuchenden Per- son und einen Teilgehalt des rechtlichen Gehörs dar, sondern dient auch der materiellen Sachverhaltsabklärung, die im Asylverfahren grundsätzlich von Amtes wegen durchzuführen ist (Art. 6 AsylG i.V.m. Art. 12 VwVG).</w:t>
      </w:r>
    </w:p>
    <w:p>
      <w:r>
        <w:rPr>
          <w:b/>
        </w:rPr>
        <w:t>E. 3.4</w:t>
      </w:r>
    </w:p>
    <w:p>
      <w:r>
        <w:t>Die Anhörung im Asylverfahren und deren Protokoll ist eine wichtige Grundlage für den Entscheid im Asylverfahren, weshalb, gerade auch an- gesichts der auf dem Spiel stehenden hochrangigen Rechtsgüter (u.a. Leib und Leben), strenge Anforderungen an deren Qualität zu stellen sind. Der Rückübersetzung der Protokolle im Zusammenhang mit dem Recht auf An- hörung kommen verschiedene Funktionen zu (insbesondere: Gedächtnis- und Perpetuierungsfunktion, Garantiefunktion sowie Beweis- und Bin- dungsfunktion; vgl. Urteil des BVGer D-5173/2014 vom 28. Dezember 2016, E. 4.3.4 m.w.H.).</w:t>
      </w:r>
    </w:p>
    <w:p>
      <w:r>
        <w:rPr>
          <w:b/>
        </w:rPr>
        <w:t>E. 3.4.1</w:t>
      </w:r>
    </w:p>
    <w:p>
      <w:r>
        <w:t>Zwar ist weder im Asylgesetz (Art. 29 AsylG) noch im Verwaltungs- verfahrensgesetz (Art. 30 VwVG) genau geregelt, wann die Rücküberset- zung zu erfolgen hat, und auch die asylrechtliche Lehre stellt lediglich fest, dass die Rückübersetzung am Ende der Anhörung zu erfolgen habe (vgl. Urteil des BVGer D-5173/2014, a.a.O., E. 4.3.5 m.w.H.). Gemäss aussa- gepsychologischen Erkenntnissen ist aber davon auszugehen, dass eine Person die richtige Protokollierung der ihr persönlich unwichtig erscheinen- den Details bereits nach wenigen Stunden nicht mehr kontrollieren kann, während bei autobiographischen Erlebnissen davon auszugehen ist, dass diese auch nach längerer Zeit nur wenig vergessen werden (vgl. Urteil des BVGer D-5173/2014, a.a.O., E. 4.3.5.3 m.w.H.).</w:t>
      </w:r>
    </w:p>
    <w:p>
      <w:r>
        <w:rPr>
          <w:b/>
        </w:rPr>
        <w:t>E. 3.4.2</w:t>
      </w:r>
    </w:p>
    <w:p>
      <w:r>
        <w:t>Daraus ist der Schluss zu ziehen, dass die Rückübersetzung und so- mit die Kontrolle des Anhörungsprotokolls im Asylverfahren unmittelbar nach Abschluss der Anhörung oder jedenfalls so zeitnah zu erfolgen hat, dass falsche Formulierungen, protokollierte Emotionen und Gesten sowie Details der Anhörung noch nachvollziehbar korrigiert werden könnten. (vgl. Urteil des BVGer D-5173/2014, a.a.O., E. 4.3.5.) Bei einer verspäteten Rückübersetzung ist (mit Ausnahme der Kontroll- funktion bezüglich der Genauigkeit der Äusserungen) der Sinn und Zweck der Protokollierung der Anhörung dann noch nach wie vor gewahrt, wenn die Rückübersetzung innerhalb von wenigen Tagen stattfindet, diese also</w:t>
      </w:r>
    </w:p>
    <w:p>
      <w:r>
        <w:t>D-3818/2024 Seite 7 nicht völlig aus dem zeitlichen und inhaltlichen Kontext mit der Anhörung gerissen wird. Wenn die Rückübersetzung, sollte diese aus objektiven Gründen unmittelbar nach der Anhörung nicht möglich oder nicht sinnvoll gewesen sein, nicht im vertretbaren zeitlichen Abstand nachgeholt wird, liegt eine Verletzung des Anspruchs auf rechtliches Gehör vor und eine Wiederholung dieses Verfahrensschritts auf Beschwerdeebene ist grund- sätzlich nicht mehr möglich (vgl. Urteil des BVGer D-5173/2014, a.a.O., E. 4.3.7 f. m.w.H.).Im vorliegend zu beurteilenden Fall wurde der Be- schwerdeführer am 8. Februar 2024 gestützt auf Art. 29 Abs. 1 AsylG ver- tieft zu seinen Asylgründen angehört. Die Rückübersetzung des Protokolls dieser Anhörung fand erst am 11. März 2024, mithin 32 Tage später, statt. Die Anhörung begann um 13:40 Uhr (vgl. act. A26, S.1) und endete um 18:20 Uhr (vgl. act. A26, S.17). Es wurde aber am Tag der Anhörung nicht festgehalten, warum keine Rückübersetzung mehr stattfand und auch kein Termin für die geplante Rückübersetzung genannt (vgl. act. A26, S. 16). Gemäss den vorliegenden vorinstanzlichen Akten wurde auch die Rechts- vertretung des Beschwerdeführers nicht entsprechend informiert. Erst zum Zeitpunkt der Rückübersetzung am 11. März 2024 wurde festge- halten, dass es am Tag der Anhörung aus zeitlichen Gründen nicht möglich gewesen sei, die Rückübersetzung vorzunehmen (vgl. act. A26, S.17). Die Rückübersetzung wurde also aus organisatorischen Gründen wegen zu weit fortgeschrittener Zeit am Tag der Anhörung verschoben.</w:t>
      </w:r>
    </w:p>
    <w:p>
      <w:r>
        <w:rPr>
          <w:b/>
        </w:rPr>
        <w:t>E. 3.4.3</w:t>
      </w:r>
    </w:p>
    <w:p>
      <w:r>
        <w:t>Zwar erscheint es nachvollziehbar, dass es um 18:20 Uhr zu spät für eine Rückübersetzung war. Auf Beschwerdeebene wird in dem Zusam- menhang aber zu Recht das Zeitmanagement des SEM während der An- hörung moniert (vgl. Beschwerde, S. 5). Fraglich ist nämlich bereits, warum die Anhörung erst mittags begann. Und dann nicht später angesichts der fortgeschrittenen Zeit statt einer Weiterführung der Anhörung bis nach 18 Uhr ein Unterbruch der Anhörung mit Rückübersetzung und Anberaumung einer ergänzenden Anhörung erfolgt ist.</w:t>
      </w:r>
    </w:p>
    <w:p>
      <w:r>
        <w:rPr>
          <w:b/>
        </w:rPr>
        <w:t>E. 3.4.4</w:t>
      </w:r>
    </w:p>
    <w:p>
      <w:r>
        <w:t>Als Grund, dass die Rückübersetzung nicht innerhalb weniger Tage nachgeholt wurde, gibt das SEM in der Vernehmlassung (erneut) organi- satorische Gründe an, nämlich die begrenzte Verfügbarkeit eines Dolmet- schers für die Sprache (…) (vgl. Vernehmlassung des SEM und beigelegte Ausdrucke der internen E-Mail-Korrespondenz). Aber auch die gemäss Vernehmlassung geplante Rückübersetzung am 22. Februar 2024 wäre erst vierzehn Tage nach der Anhörung erfolgt, was angesichts der</w:t>
      </w:r>
    </w:p>
    <w:p>
      <w:r>
        <w:t>D-3818/2024 Seite 8 Zeitspanne auch bereits aus dem zeitlichen und inhaltlichen Kontext geris- sen erscheint (vgl. Urteil des BVGer D-7209/2018 vom 27. Februar 2019 E. 5.3.1 bei einer Verschiebung der Rückübersetzung um fünfzehn Tage). Aufgrund der Absage des Dolmetschers fand die Rückübersetzung schliesslich erst nach 32 Tagen statt.</w:t>
      </w:r>
    </w:p>
    <w:p>
      <w:r>
        <w:rPr>
          <w:b/>
        </w:rPr>
        <w:t>E. 3.4.5</w:t>
      </w:r>
    </w:p>
    <w:p>
      <w:r>
        <w:t>Eine derart verspätete Rückübersetzung nach 32 Tagen erscheint derart stark verzögert, dass sie aus dem zeitlichen und inhaltlichen Kontext mit der Anhörung gerissen ist (vgl. Urteil des BVGer D-5173/2014, a.a.O., E. 4.3.7). Der Rüge in der Replik, es sei Sache der Vorinstanz, genügend Ressourcen bereitzustellen, um die Rückübersetzung gemäss den Vorga- ben des Handbuchs des SEM sowie der bundesgerichtlichen Rechtspre- chung anzuberaumen, ist beizupflichten.</w:t>
      </w:r>
    </w:p>
    <w:p>
      <w:r>
        <w:rPr>
          <w:b/>
        </w:rPr>
        <w:t>E. 3.4.6</w:t>
      </w:r>
    </w:p>
    <w:p>
      <w:r>
        <w:t>Der Beschwerdeführer hat bei der Rückübersetzung noch auf ein- zelne Übersetzungs- beziehungsweise Protokollfehler bei Datumsangaben aufmerksam gemacht (vgl. mehrere Anmerkungen anlässlich der Rück- übersetzung vom 11. März 2024, act. A26, S. 17). Allerdings hat das SEM diese korrigierten Zeitangaben zu den Aufenthalten in Burundi und Katar in seiner Verfügung vom 21. Mai 2024 nicht im Sachverhalt korrigiert über- nommen, sondern fälschlicherweise festgehalten, der Beschwerdeführer habe sich von Dezember 2018 bis zum 6. Juli 2020 in Katar aufgehalten. Am 6. Juli 2020 sei er zurück nach Burundi gereist (vgl. Verfügung des SEM, S. 4 und 5). Dabei hat der Beschwerdeführer korrigiert, dass er erst am 6. Juli 2022 (statt 6. Juli 2020) zurück nach Burundi gegangen sei (siehe Rückübersetzung zu F9, act. A26, S. 17). So hat das SEM auch in den Erwägungen bei der Argumentation zur Unglaubhaftigkeit der Vorbrin- gen des Beschwerdeführers erwogen, dieser habe nie erwähnt, Ende April 2021 oder Anfang 2022 erneut in Katar gewesen zu sein (vgl. Verfügung des SEM, S. 8). Obwohl doch der Korrektur in der Rückübersetzung ent- nommen werden kann, dass er sich bis zum 6. Juli 2022 in Katar aufgehal- ten habe. Auch hat das SEM die zeitliche Verzögerung zwischen der Anhörung und deren Rückübersetzung bei der Glaubhaftigkeitsprüfung in keiner Weise erwähnt, was eine Verletzung der Begründungspflicht darstellt, und wes- halb davon auszugehen ist, dass es diese im Rahmen der Würdigung nicht berücksichtigt hat (vgl. Urteil des BVGer D-5173/2014, a.a.O., E. 4.3.6.1). Aus der Rückübersetzung des Protokolls ist sodann nicht eindeutig fest- stellbar, worauf die Rechtsvertretung hier zu Recht hinweist, ob der</w:t>
      </w:r>
    </w:p>
    <w:p>
      <w:r>
        <w:t>D-3818/2024 Seite 9 Begleitperson das Fragerecht gewährt worden ist. In der Rückübersetzung ist festgehalten, dass der Beschwerdeführer bestreitet, dass seiner Begleit- person das Fragerecht gewährt worden sei (vgl. act. A26, S. 18). Ange- sichts der geschilderten Unklarheiten in Bezug auf die Protokollierung ist sodann auch noch anzubringen, dass die Befragung ohne Rechtsvertre- tung stattfand, was den Beschwerdeführer, der einer Befragung ohne Rechtsvertretung zunächst zugestimmt hatte, anscheinend in der Anhö- rung auch beunruhigt hat (vgl. act. A 22, A23, A26, F4, S. 2).</w:t>
      </w:r>
    </w:p>
    <w:p>
      <w:r>
        <w:rPr>
          <w:b/>
        </w:rPr>
        <w:t>E. 4.1</w:t>
      </w:r>
    </w:p>
    <w:p>
      <w:r>
        <w:t>Gemäss Art. 61 Abs. 1 VwVG entscheidet das Bundesverwaltungsge- richt in der Sache selbst oder weist diese ausnahmsweise mit verbindlichen Weisungen an die Vorinstanz zurück.</w:t>
      </w:r>
    </w:p>
    <w:p>
      <w:r>
        <w:rPr>
          <w:b/>
        </w:rPr>
        <w:t>E. 4.2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Eine Verletzung des Anspruchs auf recht- liches Gehör führt - angesichts des formellen Charakters des Gehörsan- 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 deinstanz für die konkrete Streitfrage die freie Überprüfungsbefugnis in Be- zug auf Tatbestand und Rechtsanwendung zukommt sowie die fest- gestellte Verletzung nicht schwerwiegender Natur ist und die fehlende Ent- scheidreife durch die Beschwerdeinstanz mit vertretbarem Aufwand herge- stellt werden kann (vgl. BVGE 2014/22 E. 5.3 m.w.H.).</w:t>
      </w:r>
    </w:p>
    <w:p>
      <w:r>
        <w:rPr>
          <w:b/>
        </w:rPr>
        <w:t>E. 4.3</w:t>
      </w:r>
    </w:p>
    <w:p>
      <w:r>
        <w:t>Vorliegend ist eine Kassation an die Vorinstanz angezeigt. Das Bun- desverwaltungsgericht kommt zum Schluss, dass die Vorinstanz durch die massiv verspätete Rückübersetzung den rechtserheblichen Sachverhalt unvollständig festgestellt und den Anspruch auf rechtliches Gehör des Be- schwerdeführers in schwerwiegender Weise verletzt hat, weshalb sich eine Heilung nicht rechtfertigt, der Entscheid hinsichtlich der Frage der Asylge- währung aufzuheben und die Sache zur Neubeurteilung im Sinne der</w:t>
      </w:r>
    </w:p>
    <w:p>
      <w:r>
        <w:t>D-3818/2024 Seite 10 Erwägungen an die Vorinstanz zurückzuweisen ist. Das Anhörungsproto- koll vom 8. Februar 2024 (act. A26/18) ist aus dem Recht zu weisen und das SEM anzuweisen, erneut eine Anhörung im Sinne von Art. 29 AsylG durchzuführen.</w:t>
      </w:r>
    </w:p>
    <w:p>
      <w:r>
        <w:rPr>
          <w:b/>
        </w:rPr>
        <w:t>E. 5</w:t>
      </w:r>
    </w:p>
    <w:p>
      <w:r>
        <w:t>Nach dem Gesagten ist die Beschwerde gutzuheissen. Die Verfügung vom 21. Mai 2024 ist aufzuheben und die Sache zur vollständigen Feststellung des Sachverhalts mittels einer erneuten Anhörung und anschliessenden Neubeurteilung - unter Würdigung aller entscheidwesentlichen Sachver- haltselemente und eingereichten Beweismittel - an die Vorinstanz zurück- zuweisen.</w:t>
      </w:r>
    </w:p>
    <w:p>
      <w:r>
        <w:rPr>
          <w:b/>
        </w:rPr>
        <w:t>E. 6</w:t>
      </w:r>
    </w:p>
    <w:p>
      <w:r>
        <w:t>Bei diesem Ausgang des Verfahrens sind keine Kosten zu erheben (Art. 63 Abs. 1 und 2 VwVG).</w:t>
      </w:r>
    </w:p>
    <w:p>
      <w:r>
        <w:rPr>
          <w:b/>
        </w:rPr>
        <w:t>E. 7</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Der notwendige Vertretungsauf- wand lässt sich indes aufgrund der Aktenlage zuverlässig abschätzen, weshalb auf die Einholung einer solchen verzichtet werden kann (Art. 14 Abs. 2 in fine VGKE). Gestützt auf die in Betracht zu ziehenden Bemes- sungsfaktoren (Art. 9–13 VGKE) ist dem Beschwerdeführer zulasten der Vorinstanz eine Parteientschädigung von insgesamt Fr. 800.– (inkl. Ausla- gen) zuzusprechen.</w:t>
      </w:r>
    </w:p>
    <w:p>
      <w:r>
        <w:t>(Dispositiv nächste Seite)</w:t>
      </w:r>
    </w:p>
    <w:p>
      <w:r>
        <w:t>D-3818/2024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