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D-3813/2013 vom 8. Oktober 2013</w:t>
      </w:r>
    </w:p>
    <w:p>
      <w:r>
        <w:t>Bundesverwaltungsgericht, 2013-10-08, DE</w:t>
      </w:r>
    </w:p>
    <w:p>
      <w:r>
        <w:rPr>
          <w:b/>
        </w:rPr>
        <w:t xml:space="preserve">Quelle: </w:t>
      </w:r>
      <w:r>
        <w:t>https://mcp.opencaselaw.ch/entscheid/bvger_D-3813_2013</w:t>
      </w:r>
    </w:p>
    <w:p>
      <w:r>
        <w:t>FR: TAF D-3813/2013 du 8 octobre 2013</w:t>
      </w:r>
    </w:p>
    <w:p>
      <w:r>
        <w:t>IT: TAF D-3813/2013 del 8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frist- und - mit der rechtzeitig nachgereichten Beschwerdeverbesserung - auch formgerecht eingereicht. Der Be­schwer­de­führer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 wie vorliegend geschehen - eine Befragung durchführt (Art. 10 Abs. 1 AsylV 1). I</w:t>
      </w:r>
    </w:p>
    <w:p>
      <w:r>
        <w:rPr>
          <w:b/>
        </w:rPr>
        <w:t>E. 4.2</w:t>
      </w:r>
    </w:p>
    <w:p>
      <w:r>
        <w:t>Das BFM kann ein im Ausland gestelltes Asylgesuch ablehnen, wenn die asylsuchende Personen keine Verfolgung glaubhaft machen können oder ihnen die Aufnahme in einem Drittstaat zugemutet werden kann (vgl. Art. 3, Art. 7 und aArt. 52 Abs. 2 AsylG). 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w:t>
      </w:r>
    </w:p>
    <w:p>
      <w:r>
        <w:t>Aus nachfolgenden Gründen ist die Einschätzung des BFM in der angefochtenen Verfügung zu bestätigen, wonach sich aus den wesentlichen Vorbringen des Beschwerdeführers, nach Verbüssung einer politisch motivierten Haftstrafe von den Behörden schikaniert und bedroht und schliesslich zu Unrecht wegen Diebstahls verurteilt worden zu sein, keine asylrelevante Gefährdungssituation des Beschwerdeführers ergebe. Zum einen ist nach Verbüssung der Haftstrafe, welche im Verlaufe des Verfahrens gemildert wurde, ein Verfolgungsinteresse des türkischen Staates am Beschwerdeführer, welcher ohne Auflagen oder Bedingungen aus der Haft entlassen wurde, nicht ersichtlich. An dieser Einschätzung vermögen die blossen, nicht näher ausgeführten Behauptungen, von den Sicherheitskräften ständig überwacht, eingeschüchtert, beschimpft und unter Druck gesetzt worden zu sein, nichts zu ändern, erreichen diese doch, sollten sie sich tatsächlich ereignet haben, nicht die erforderliche asylrelevante Intensität. Zum anderen handelt es sich auch beim weiteren Vorbringen, die türkischen Behörden hätten ein Komplott gegen ihn geschmiedet, indem sie gegen ihn ein Strafverfahren wegen Diebstahls eingeleitet hätten, um eine unbewiesene Behauptung des Beschwerdeführers, welche insbesondere aufgrund des erfolgten geringen Strafmasses als nicht begründet erscheint. Es bestehen daher im heutigen Zeitpunkt keine konkreten Anhaltspunkte auf eine begründete Furcht des Beschwerdeführers vor künftiger Verfolgung. An dieser Einschätzung vermögen die Argumente in der Beschwerde, welche sich im Wesentlichen in einer Wiederholung der bereits im Rahmen des vorinstanzlichen Verfahrens geltend gemachten Vorbringen und blossen Behauptungen erschöpfen, nichts zu ändern. 6.Somit ist es dem Beschwerdeführer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des Beschwerdeführers zur Schweiz zu verneinen (aArt.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