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D-3812/2019 vom 15. August 2019</w:t>
      </w:r>
    </w:p>
    <w:p>
      <w:r>
        <w:t>Bundesverwaltungsgericht, 2019-08-15, DE</w:t>
      </w:r>
    </w:p>
    <w:p>
      <w:r>
        <w:rPr>
          <w:b/>
        </w:rPr>
        <w:t xml:space="preserve">Quelle: </w:t>
      </w:r>
      <w:r>
        <w:t>https://mcp.opencaselaw.ch/entscheid/bvger_D-3812_2019</w:t>
      </w:r>
    </w:p>
    <w:p>
      <w:r>
        <w:t>FR: TAF D-3812/2019 du 15 août 2019</w:t>
      </w:r>
    </w:p>
    <w:p>
      <w:r>
        <w:t>IT: TAF D-3812/2019 del 15 agosto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Dem Bundesverwaltungsgericht obliegt gemäss Art. 49 Bst. b VwVG (beziehungsweise Art. 106 Abs. 1 Bst. b AsylG) eine umfassende Sachverhaltskontrolle (vgl. Moser/Beusch/Kneubühler, Prozessieren vor dem Bundesverwaltungsgericht, 2. Aufl. 2013, Rz. 2.188). Stellt das Bundesverwaltungsgericht eine fehler- oder lückenhafte Feststellung des Sachverhalts fest, hebt es die Verfügung auf und weist die Sache an die Vorinstanz zurück, damit diese den rechtserheblichen Sachverhalt neu und vollständig erhebt (vgl. Moser/Beusch/Kneubühler, a.a.O., Rz. 2.191; Kölz/Häner/ Bertschi, a.a.O., Rz. 1155).</w:t>
      </w:r>
    </w:p>
    <w:p>
      <w:r>
        <w:rPr>
          <w:b/>
        </w:rPr>
        <w:t>E. 4.2</w:t>
      </w:r>
    </w:p>
    <w:p>
      <w:r>
        <w:t>Der Anspruch auf rechtliches Gehör (Art. 29 VwVG) umfasst das Recht des Betroffenen, sich vor Erlass eines in seine Rechtsstellung eingreifenden Entscheids zur Sache äussern zu können.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Die Aktenführungspflicht als Teilgehalt des rechtlichen Gehörs beinhaltet insbesondere die geordnete Ablage, die Paginierung und die Registrierung der vollständigen Akten im Aktenverzeichnis. Sie ergibt sich aus dem Akteneinsichtsrecht des Gesuchstellers beziehungsweise Beschwerdeführers, welches in Art. 26 ff. VwVG geregelt ist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wogegen massgeblich für den Einsichtsanspruch das grundsätzliche Potenzial zur Entscheidbeeinflussung ist.</w:t>
      </w:r>
    </w:p>
    <w:p>
      <w:r>
        <w:rPr>
          <w:b/>
        </w:rPr>
        <w:t>E. 4.3</w:t>
      </w:r>
    </w:p>
    <w:p>
      <w:r>
        <w:t>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notwenigen Unterlagen zu beschaffen, die rechtlich relevanten Umstände abzuklären und ordnungsgemäss darüber Beweis zu führen.</w:t>
      </w:r>
    </w:p>
    <w:p>
      <w:r>
        <w:rPr>
          <w:b/>
        </w:rPr>
        <w:t>E. 5.1</w:t>
      </w:r>
    </w:p>
    <w:p>
      <w:r>
        <w:t>Soweit der Beschwerdeführer rügt, die Vorinstanz habe den Sachverhalt fehlerhaft festgestellt beziehungsweise ihre Abklärungspflicht verletzt, indem es trotz Hinweis auf seine psychischen Probleme anlässlich der Stellungnahme zum Entscheidentwurf darauf verzichtet habe, entsprechende medizinische Berichte abzuwarten, vermag er nicht zu überzeugen. Vielmehr wäre er aufgrund von Art. 8 Abs. 1 Bst. d AsylG verpflichtet gewesen, das psychiatrische Konsilium vom 3. Juli 2019 unverzüglich zu den vorinstanzlichen Akten zu reichen. Überdies beschlägt die Kritik weder eine fehlerhafte Feststellung des Sachverhalts noch eine Verletzung der Abklärungspflicht, sondern allenfalls eine mangelhafte Beweiswürdigung, welche nachfolgend zu prüfen wäre, worauf jedoch aufgrund nachstehender Erwägung verzichtet werden kann. Das SEM hat sich in der angefochtenen Verfügung explizit mit psychischen Problemen auseinandergesetzt und - in antizipatorischer Beweiswürdigung - festgehalten, auf die Nachforderung weiterer Arztberichte könne verzichtet werden, da diese mutmasslich nicht geeignet seien, den Ausgang des Verfahrens zu ändern (vgl. angefochtene Verfügung Ziff. II Nr. 2 [S. 5]).</w:t>
      </w:r>
    </w:p>
    <w:p>
      <w:r>
        <w:rPr>
          <w:b/>
        </w:rPr>
        <w:t>E. 5.2</w:t>
      </w:r>
    </w:p>
    <w:p>
      <w:r>
        <w:t>Das Bundesverwaltungsgericht stellt indessen nach Durchsicht der Akten fest, dass die vorliegende Aktenführung- und Paginierung durch das SEM den von der Rechtsprechung als Ausfluss des Anspruchs auf rechtliches Gehör gestellten Anforderungen nicht zu genügen vermag. Zunächst fällt auf, dass der Beschwerdeführer anlässlich der Anhörung insgesamt neun Dokumente eingereicht hat, während das Beweismittelverzeichnis der elektronischen Akten lediglich fünf Beweismittel mit einer abweichenden Bezeichnung aufführt (vgl. SEM act. A29, F.4 f.). Dagegen enthält das "Beweismittelcouvert" in der vom Gericht ausnahmsweise beigezogenen N-Box zur Aufbewahrung physischer Akten acht Beweismittel, teilweise versehen mit Post-It, Nummer, Datum und dem Vermerk "eingescannt", wobei sich dem Gericht nicht erschliesst, welches dieser Beweismittel unter welche Bezeichnung des Beweismittelverzeichnisses fällt beziehungsweise um welche anlässlich der Anhörung eingereichte Dokumente es sich tatsächlich handelt. Weiter finden sich, abgelegt in der hinteren Lasche der N-Box, mehrere - lediglich in der angefochtenen Verfügung erwähnte - Ausweisdokumente. Überdies stellt sich dem Gericht die Frage, ob das Beweismittel Nr. 5 "Drohbrief mit Übersetzung [Kopie]" tatsächlich zum vorliegenden Verfahren gehört, zumal es erst nach Eröffnung der angefochtenen Verfügung eingereicht wurde und überdies inhaltlich mit den Vorbringen des Beschwerdeführers nicht übereinstimmt. Vor dem Hintergrund der mit Teilrevision (AS 2016 3101) des Asylgesetzes vom 26. Juni 1998 (AsylG) per 1. März 2019 neu eingeführten Verfahrensbestimmungen - insbesondere elektronische Aktenführung und Verfahrensbeschleunigung - kommt der Aktenführungspflicht nach wie vor zentrale Bedeutung zu, zumal das Gericht die N-Box mit den physischen Akten in der Regel nicht beizieht und sich deshalb voll und ganz auf die Vollständigkeit und auch Transparenz der elektronischen Akten verlassen können muss. In diesem Sinne ist das SEM auf die im Urteil E-2454/2016 vom 7. Juni 2016 unter E. 6.2 gemachten Erwägungen und Empfehlungen hinzuweisen, welche auch mit Blick auf die Führung elektronischer Akten nach wie vor Gültigkeit haben.</w:t>
      </w:r>
    </w:p>
    <w:p>
      <w:r>
        <w:rPr>
          <w:b/>
        </w:rPr>
        <w:t>E. 5.3</w:t>
      </w:r>
    </w:p>
    <w:p>
      <w:r>
        <w:t>Zusammenfassend erscheint es als angebracht, die angefochtene Verfügung aufzuheben und die Sache an die Vorinstanz zurückzuweisen. Die Vorinstanz wird dabei ihrer Aktenführungs- und Paginierungspflicht rechtsgenüglich nachzukommen haben, indem sie insbesondere die eingereichten Beweismittel nachvollziehbar und transparent sowie paginiert in einem Beweismittelverzeichnis erfasst und sich überdies mit dem nachgereichten psychiatrischen Konsilium vom 3. Juli 2019 (vgl. E. 5.1) auseinanderzusetzen haben wird.</w:t>
      </w:r>
    </w:p>
    <w:p>
      <w:r>
        <w:rPr>
          <w:b/>
        </w:rPr>
        <w:t>E. 6.1</w:t>
      </w:r>
    </w:p>
    <w:p>
      <w:r>
        <w:t>Nach dem Gesagten ist die Beschwerde insofern gutzuheissen, als mit ihr die Aufhebung der angefochtenen Verfügung beantragt wird, und die Sache ist zur Durchführung der erforderlichen Verfahrensschritte und zur erneuten Beurteilung an die Vorinstanz zurückzuweisen. Bei dieser Sachlage erübrigt sich eine Auseinandersetzung mit den weiteren Vorbringen in der Beschwerde.</w:t>
      </w:r>
    </w:p>
    <w:p>
      <w:r>
        <w:rPr>
          <w:b/>
        </w:rPr>
        <w:t>E. 6.2</w:t>
      </w:r>
    </w:p>
    <w:p>
      <w:r>
        <w:t>Die mit der Beschwerde gestellten Begehren um Gewährung der unentgeltlichen Prozessführung samt Verzicht auf die Erhebung eines Kostenvorschusses sowie um amtliche Verbeiständung sind mit dem vorliegenden Direktentscheid gegenstandslos geworden.</w:t>
      </w:r>
    </w:p>
    <w:p>
      <w:r>
        <w:rPr>
          <w:b/>
        </w:rPr>
        <w:t>E. 7.1</w:t>
      </w:r>
    </w:p>
    <w:p>
      <w:r>
        <w:t>Bei diesem Ausgang des Verfahrens sind keine Kosten zu erheben (Art. 63 Abs. 1 VwVG).</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vom 21. Februar 2008 über die Kosten und Entschädigungen vor dem Bundesverwaltungsgericht [VGKE, SR 173.320.2]). Seitens der Rechtsvertreterin des Beschwerdeführers wurde keine Kostennote eingereicht. Auf die Nachforderung einer solchen wird indessen verzichtet (vgl. Art. 14 Abs. 2 VGKE), weil im vorliegenden Verfahren der Aufwand zuverlässig abgeschätzt werden kann. Gestützt auf die in Betracht zu ziehenden Bemessungsfaktoren (Art. 9 - 13 VGKE) sind dem Beschwerdeführer Fr. 1'000.- (inkl. Auslagen und Mehrwertsteuer) als Parteientschädigung zuzusprechen.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