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D-380/2014 vom 28. Januar 2014</w:t>
      </w:r>
    </w:p>
    <w:p>
      <w:r>
        <w:t>Bundesverwaltungsgericht, 2014-01-28, DE</w:t>
      </w:r>
    </w:p>
    <w:p>
      <w:r>
        <w:rPr>
          <w:b/>
        </w:rPr>
        <w:t xml:space="preserve">Quelle: </w:t>
      </w:r>
      <w:r>
        <w:t>https://mcp.opencaselaw.ch/entscheid/bvger_D-380_2014</w:t>
      </w:r>
    </w:p>
    <w:p>
      <w:r>
        <w:t>FR: TAF D-380/2014 du 28 janvier 2014</w:t>
      </w:r>
    </w:p>
    <w:p>
      <w:r>
        <w:t>IT: TAF D-380/2014 del 28 gennaio 2014</w:t>
      </w:r>
    </w:p>
    <w:p>
      <w:pPr>
        <w:pStyle w:val="Heading2"/>
      </w:pPr>
      <w:r>
        <w:t>Regeste</w:t>
      </w:r>
    </w:p>
    <w:p>
      <w:r>
        <w:t>Asyl und Wegweisung (verkürzte Beschwerdefrist)</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Rechtsbegehren sind in einer Formularbeschwerde und nicht in einer Amtssprache des Bundes (vgl. Art. 105 AsylG i.V.m. Art. 33a VwVG und Art. 70 Abs. 1 der Bundesverfassung der Schweizerischen Eidgenossenschaft vom 18. April 1999 [BV, SR 101]) abgefasst. Da es sich hierbei offensichtlich um die serbische Version eines von Hilfswerken verfassten und in verschiedensten Sprachen vorliegenden Beschwerdeformulars handelt, welches eine wortwörtliche Übersetzung der dem Bundesverwaltungsgericht bekannten standardisierten, in den Amtssprachen formulierten Beschwerdeanträge enthält, und da zudem die Beschwerdeführenden das Formular mit einer handschriftlichen Ergänzung in deutscher Sprache versehen haben, kann praxisgemäss auf die Einholung einer Übersetzung in eine Amtssprache verzichtet werden (vgl. statt vieler Urteil des Bundesverwaltungsgerichts E-5509/2011 vom 22. November 2011).</w:t>
      </w:r>
    </w:p>
    <w:p>
      <w:r>
        <w:rPr>
          <w:b/>
        </w:rPr>
        <w:t>E. 1.3</w:t>
      </w:r>
    </w:p>
    <w:p>
      <w:r>
        <w:t>Die Beschwerde ist fristgerecht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Im Wesentlichen machen die Beschwerdeführenden geltend die Beschwerdeführerin habe (...) bis Dezember 2012 (...) in C._______ gearbeitet. Ihr Vorgesetzter und ihre Mitarbeitenden hätten sie immer wieder schikaniert. Die Beschwerdeführerin habe nachts von Unbekannten Drohanrufe erhalten und man habe sie aufgefordert, die Arbeitsstelle zu verlassen. Ausserdem habe man ihr am Telefon gedroht, dass man sie umbringen und ihr Haus in Brand setzen würde, falls sie eine Anzeige bei der Polizei erstatten würde. Deshalb habe sie sich nicht an die Polizei gewandt, sondern habe am (...) ihre Arbeitsstelle gekündigt. Seither habe sie keine Drohanrufe mehr erhalten. Weiter machen beide Beschwerdeführenden geltend, sie hätten keine Zu­kunft im Kosovo und die Situation der Gorani sei schlecht. Es gebe keine Arbeitsplätze, da die Albaner ihre eigenen Leute anstellen würden. Ausserdem seien sie laufend von den Albanern erniedrigt worden. Die Gorani hätten Angst, ihre Häuser nachts zu verlassen, da sie von den Albanern beschimpft und verspottet würden. Sie persönlich seien immer wieder beim Einkaufen oder Spazieren in der Stadt Diskriminierungen ausgesetzt gewesen.</w:t>
      </w:r>
    </w:p>
    <w:p>
      <w:r>
        <w:rPr>
          <w:b/>
        </w:rPr>
        <w:t>E. 5.2</w:t>
      </w:r>
    </w:p>
    <w:p>
      <w:r>
        <w:t>Die Vorinstanz gelangt in der angefochtenen Verfügung zum Schluss, dass die Vorbringen der Beschwerdeführenden den Anforderungen an die Flüchtlingseigenschaft von Art. 3 AsylG nicht standhielten. Erstens fehle es am zeitlichen Kausalzusammenhang, da die Beschwerdeführenden erst über ein Jahr nach den Drohanrufen und der Kündigung ausgereist seien. Zweitens seien Übergriffe durch Dritte nur dann asylrelevant, wenn der Staat seiner Schutzpflicht nicht nachkommen kann oder will. Am 17. Februar 2008 habe der Kosovo die Unabhängigkeit erklärt und gemäss der neuen kosovarischen Verfassung sei auch nach dem Statuswechsel eine internationale zivile und militärische Präsenz vorgesehen. Im Kosovo bestünden mit der United Nations Interim Administration Mission in Kosovo (UNMIK) und der Europäischen Union (EU) zwei internationale Missionen. Die am 9. Dezember 2008 offiziell gestartete EULEX-Mission sei formal den Vereinten Nationen unterstellt und werde unter deren Oberhoheit und innerhalb eines statusneutralen Rahmens geführt. Die EULEX-Mission umfasse Polizisten, Richter, Staatsanwälte und Straf­vollzugsbeamte. Die internationalen Sicherheitskräfte sowie die Kosovo Police würden die Sicherheit garantieren und seien weitgehend in der Lage, die Bevölkerung im Kosovo zu schützen. Bei Übergriffen würden sie regelmässig intervenieren und bei Straftaten würden Ermittlungen aufgenommen. Zentrale Polizeifunktionen würden weiterhin von internationalen Polizeikräften wahrgenommen. Die neue kosovarische Verfassung gestehe den Minderheiten umfassende Rechte zu. Die Gorani seien im kosovarischen Parlament auch mit einem Abgeordneten vertreten. Somit sei vom Vorhandensein eines adäquaten Schutzes durch den Heimatstaat auszugehen und die geltend gemachten Übergriffe im vorliegenden Fall seien nicht asylrelevant. Die Beschwerdeführenden hätten sich an die kosovarischen Behörden wenden können. Drittens hätten sie ferner erwähnt, dass sie ihr Heimatland unter anderem auch verlassen hätten, um eine bessere Zukunft für ihre Familie zu haben, und weil es in Kosovo keine Arbeitsplätze gebe. Weitere Probleme mit den Behörden, der Armee oder der Polizei hätten sie im Heimatland nie gehabt. Diesbezüglich sei festzuhalten, dass diese Nachteile auf allgemeine politische, wirtschaftliche und soziale Lebensumstände zurückzuführen seien. Somit handle es sich nicht um eine asylbeachtliche Verfolgung im Sinne von Art. 3 AsylG. Bei offensichtlich fehlender Asylrelevanz könne ferner darauf verzichtet werden, auf allfällige Unglaubhaftigkeitselemente in den Vorbringen einzugehen.</w:t>
      </w:r>
    </w:p>
    <w:p>
      <w:r>
        <w:rPr>
          <w:b/>
        </w:rPr>
        <w:t>E. 5.3</w:t>
      </w:r>
    </w:p>
    <w:p>
      <w:r>
        <w:t>In der Beschwerde halten die Beschwerdeführenden an ihren Ausführungen in den Anhörungen fest und bringen erneut vor, sie seien Gorani und ihre Situation im Kosovo sei sehr schlecht. Aufgrund ihrer Ethnie seien sie diskriminiert und verfolgt worden, weshalb sie nicht zurückkehren könnten.</w:t>
      </w:r>
    </w:p>
    <w:p>
      <w:r>
        <w:rPr>
          <w:b/>
        </w:rPr>
        <w:t>E. 5.4</w:t>
      </w:r>
    </w:p>
    <w:p>
      <w:r>
        <w:t>Das Gericht schliesst sich der Ansicht der Vorinstanz an. Zur Begründung kann auf die Ausführungen der Vorinstanz verwiesen werden, welchen in der Beschwerde nichts Substanzielles entgegnet wurde. Insbesondere weisen die Vorbringen der Beschwerdeführerin, welche sich über ein Jahr vor der Ausreise ereignet haben sollen, schon allein mangels zeitlichem Kausalzusammenhang keine Asylrelevanz auf. Schliesslich ist festzuhalten, dass sich die Beschwerdeführenden im Falle eines Übergriffes an die kosovarischen Behörden wenden können, welche ihnen einen adäquaten Schutz gewähren. Folglich halten die Vorbringen der Beschwerdeführenden den Anforderungen an die Flüchtlingseigenschaft ge­mäss Art. 3 AsylG nicht stand.</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Kosovo ist demnach unter dem Aspekt von Art. 5 AsylG rechtmässig. Sodann ergeben sich weder aus den Aussagen der Beschwerdeführen­den noch aus den Akten Anhaltspunkte dafür, dass sie für den Fall einer Ausschaffung in den Kosovo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Kosovo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Die allgemeine Lage im Kosovo ist zum heutigen Zeitpunkt weder von Krieg, noch von Bürgerkrieg oder von allgemeiner Gewalt gekennzeichnet, so dass der Vollzug der Wegweisung dorthin grundsätzlich als zu­mutbar erscheint. Zwar handelt es sich bei den Beschwerdeführenden um Angehörige der ethnischen Minderheit der Gorani. Dieser Umstand allein spricht jedoch nicht gegen die Zumutbarkeit des Wegweisungsvollzugs, da der Vollzug der Wegweisung für slawische Muslime in den Koso­vo (ausgenommen den Bezirk Mitrovica) nach Praxis des Bundesverwaltungsgerichts grundsätzlich zumutbar ist. Dies gilt insbesondere für die Region Dragas aus der die Beschwerdeführenden stammen, welche durch ein relativ entspanntes Verhältnis unter den verschiedenen ethnischen Gruppen gekennzeichnet ist (vgl. dazu im Einzelnen BVGE 2011/50 E. 8.6; ferner auch Urteil des Bundesverwaltungsgerichts E-5064/2008 vom 5. April 2012, E. 5.3.3).</w:t>
      </w:r>
    </w:p>
    <w:p>
      <w:r>
        <w:rPr>
          <w:b/>
        </w:rPr>
        <w:t>E. 7.4.2</w:t>
      </w:r>
    </w:p>
    <w:p>
      <w:r>
        <w:t>Es sind keine Gründe ersichtlich, weder aufgrund der Aktenlage noch werden solche substanziiert geltend gemacht, welche gegen die Zu­mutbarkeit des Wegweisungsvollzugs sprechen würden. Insbesondere ist der Vollzug aufgrund der Ausbildung, den Angehörigen und des Gesundheitszustands der Beschwerdeführenden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7.6</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Das mit der Beschwerde gestellte Gesuch um Gewährung der unentgeltli­chen Rechtspflege im Sinne von Art. 65 Abs. 1 und 2 VwVG ist abzuweisen, da die Begehren - wie sich aus den vorstehenden Erwägungen ergibt - als aussichtlos zu bezeichnen waren, weshalb die Voraussetzungen für die Gewährung der unentgeltlichen Rechtspflege nicht erfüllt sind.</w:t>
      </w:r>
    </w:p>
    <w:p>
      <w:r>
        <w:rPr>
          <w:b/>
        </w:rPr>
        <w:t>E. 10</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