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D-37/2016 vom 1. Juni 2016</w:t>
      </w:r>
    </w:p>
    <w:p>
      <w:r>
        <w:t>Bundesverwaltungsgericht, 2016-06-01, DE</w:t>
      </w:r>
    </w:p>
    <w:p>
      <w:r>
        <w:rPr>
          <w:b/>
        </w:rPr>
        <w:t xml:space="preserve">Quelle: </w:t>
      </w:r>
      <w:r>
        <w:t>https://mcp.opencaselaw.ch/entscheid/bvger_D-37_2016</w:t>
      </w:r>
    </w:p>
    <w:p>
      <w:r>
        <w:t>FR: TAF D-37/2016 du 1 juin 2016</w:t>
      </w:r>
    </w:p>
    <w:p>
      <w:r>
        <w:t>IT: TAF D-37/2016 del 1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1.6</w:t>
      </w:r>
    </w:p>
    <w:p>
      <w:r>
        <w:t>Das vorliegende Beschwerdeverfahren ist aufgrund des engen Sachzusammenhangs mit denjenigen der von der Vorinstanz separat beurteilten Asylgesuche der Eltern und minderjährigen Geschwister (Auflistung Namen und Geschäfts-Nummern der Familienmitglieder) koordiniert zu behandeln. Aus Gründen der Übersichtlichkeit ergehen für die oben erwähnten Verfahren je gesonderte Urteile.</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1. September 2015 ersuchte das SEM die italienischen Behörden um Übernahme der Beschwerdeführerin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wird von der Beschwerdeführerin in der Rechtsmitteleingabe mit dem Hinweis bestritten, die Regelung von Art. 22 Abs. 7 Dublin-III-VO zur Zustimmungsfiktion bedeute, dass die Zuständigkeit nach Ablauf der zweimonatigen Frist nur dann auf den ersuchten Mitgliedstaat übergehen könne, wenn die neue Zuständigkeit nicht gegen völkerrechtliche Regelungen verstosse. Dieser Einwand vermag nicht zu einer anderen Einschätzung zu führen. Das SEM hat sich im angefochtenen Entscheid in korrekter Weise zur Zuständigkeit Italiens zur Durchführung des Asyl- und Wegweisungsverfahrens gemäss Dublin-III-VO geäussert. Dass es dabei - entgegen der in der Beschwerdeschrift geäusserten Ansicht - zum Schluss gekommen ist, dass die Zuständigkeit Italiens mit den zu beachtenden völkerrechtlichen Bestimmungen im Einklang stehe und der Beschwerdeführerin durch die Überstellung nach Italien keine Menschenrechtsverletzungen drohen würden, vermag an der grundsätzlichen Zuständigkeit Italiens nichts zu ändern. Demzufolge ist die Zuständigkeit Italiens gegeben.</w:t>
      </w:r>
    </w:p>
    <w:p>
      <w:r>
        <w:rPr>
          <w:b/>
        </w:rPr>
        <w:t>E. 3.3</w:t>
      </w:r>
    </w:p>
    <w:p>
      <w:r>
        <w:t>Im Lichte von Art. 3 Abs. 2 Dublin-III-VO ist zu prüfen, ob es wesentliche Gründe für die Annahme gibt, der Beschwerdeführerin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für die Prüfung des Asylgesuchs zuständig erklären (vgl. BVGE 2010/45 E. 5).</w:t>
      </w:r>
    </w:p>
    <w:p>
      <w:r>
        <w:rPr>
          <w:b/>
        </w:rPr>
        <w:t>E. 3.4</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3.5</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 des Europäischen Parlaments und des Rates 2013/32/EU vom 26. Juni 2013 zu gemeinsamen Verfahren für die Zuerkennung und Aberkennung des internationalen Schutzes (Verfahrensrichtlinie) sowie der Aufnahmerichtlinie verstossen würde.</w:t>
      </w:r>
    </w:p>
    <w:p>
      <w:r>
        <w:rPr>
          <w:b/>
        </w:rPr>
        <w:t>E. 3.6</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3.7</w:t>
      </w:r>
    </w:p>
    <w:p>
      <w:r>
        <w:t>Sodann wird auch mit dem Hinweis auf die gesundheitlichen Probleme der Beschwerdeführerin (Nennung Leiden), die grundsätzliche Zuständigkeit Italiens nicht widerlegt, da aus diesem Umstand nicht zu schliessen ist, die Überstellung nach Italien setze sie einer Gefahr für die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in casu nicht der Fall ist. Im Übrigen verfügt Italien über eine ausreichende medizinische Infrastruktur und es darf auch davon ausgegangen werden, dass ihr der Zugang zu einer allenfalls notwendigen medizinischen Versorgung möglich ist. Ohnehin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psychiatrischen Betreuung) gewähren (Art. 19 Abs. 2 Aufnahmerichtlinie). Die schweizerischen Behörden, die mit dem Vollzug der angefochtenen Verfügung beauftragt sind, tragen den medizinischen Umständen bei der Bestimmung der konkreten Modalitäten der Überstellung der Beschwerdeführerin Rechnung. Zudem werden - wie die Vorinstanz im angefochtenen Entscheid ausführte - die italienischen Behörden vorgängig in geeigneter Weise über ihre spezifischen medizinischen Umstände informiert (vgl. Art. 31 f. Dublin-III-VO).</w:t>
      </w:r>
    </w:p>
    <w:p>
      <w:r>
        <w:rPr>
          <w:b/>
        </w:rPr>
        <w:t>E. 3.8</w:t>
      </w:r>
    </w:p>
    <w:p>
      <w:r>
        <w:t>Auch aus den weiteren Vorbringen in der Beschwerde lässt sich nichts Gegenteiliges schliessen. Im Rahmen des der Beschwerdeführerin bei der BzP gewährten rechtlichen Gehörs verneinte sie, dass sie bei einer Wegweisung nach Italien konkrete persönliche Probleme befürchten müsste, äusserte jedoch gleichzeitig den Wunsch, in der Schweiz bleiben zu können. Aus diesen Gründen sind keine konkreten und substanziierten persönlichen Schwierigkeiten der Beschwerdeführerin in Italien zu ersehen.</w:t>
      </w:r>
    </w:p>
    <w:p>
      <w:r>
        <w:rPr>
          <w:b/>
        </w:rPr>
        <w:t>E. 3.9</w:t>
      </w:r>
    </w:p>
    <w:p>
      <w:r>
        <w:t>Sodann handelt es sich bei den sich in der Schweiz aufhaltenden Familienangehörigen der Beschwerdeführerin nicht um Familienangehörige im Sinne von Art. 2 Bst. g Dublin-III-VO. Zudem hielt die Vorinstanz zu Recht fest, weshalb die Voraussetzungen von Art. 16 Dublin-III-VO nicht vorliegen. Überdies befinden sich vorliegend die Antragstellerin und ihre Angehörigen im gleichen Mitgliedstaat, weshalb ein Ersuchen nach Art. 16 Dublin-III-VO praxisgemäss nicht zur Anwendung gelangt, zumal es der Aufenthaltsstaat bereits alleine in der Hand hat, die Trennung der Familienmitglieder durch die Ausübung seiner Zuständigkeit zu verhindern (vgl. Filzwieser/Sprung, Dublin III-Verordnung - Das Europäische Asylzuständigkeitssystem, Wien und Graz 2014, K11 zu Art. 16 S. 154).</w:t>
      </w:r>
    </w:p>
    <w:p>
      <w:r>
        <w:rPr>
          <w:b/>
        </w:rPr>
        <w:t>E. 3.10</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3.11</w:t>
      </w:r>
    </w:p>
    <w:p>
      <w:r>
        <w:t>Die Beschwerdeführerin kann auch aus der Bestimmung von Art. 29a Abs. 3 AsylV 1 nichts für sich ableiten, da diese (in Verbindung mit Art. 17 Abs. 1 Dublin-III-VO) dem SEM einen Ermessensspielraum einräumt und vor dem Hintergrund der persönlichen Situation der Beschwerdeführerin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4</w:t>
      </w:r>
    </w:p>
    <w:p>
      <w:r>
        <w:t>Somit bleibt Italien der für die Behandlung des Asylgesuchs der Beschwerdeführerin zuständige Mitgliedstaat gemäss Dublin-III-VO. Italien ist verpflichtet, sie gemäss Art. 22 und 29 Dublin-III-VO aufzunehmen.</w:t>
      </w:r>
    </w:p>
    <w:p>
      <w:r>
        <w:rPr>
          <w:b/>
        </w:rPr>
        <w:t>E. 5.1</w:t>
      </w:r>
    </w:p>
    <w:p>
      <w:r>
        <w:t>Das SEM ist demnach zu Recht in Anwendung von Art. 31a Abs. 1 Bst. b AsylG auf das Asylgesuch der Beschwerdeführerin nicht eingetreten, weshalb dem Antrag auf Rückweisung der Sache zur vollständigen Abklärung des Sachverhalts und zur Neubeurteilung durch die Vorinstanz nicht stattzugeben ist. Da die Beschwerdeführerin nicht im Besitz einer gültigen Aufenthalts- oder Niederlassungsbewilligung ist, wurde die Überstellung nach Italien in Anwendung von Art. 44 AsylG ebenfalls zu Recht angeordnet (Art. 32 Bst. a AsylV 1).</w:t>
      </w:r>
    </w:p>
    <w:p>
      <w:r>
        <w:rPr>
          <w:b/>
        </w:rPr>
        <w:t>E. 5.2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6.1 Nach dem Gesagten ist die Beschwerde abzuweisen und die Verfügung des SEM zu bestätigen. 6.2 Das Beschwerdeverfahren ist mit vorliegendem Urteil abgeschlossen, weshalb sich die Anträge auf Erteilung der aufschiebenden Wirkung und auf Erlass des Kostenvorschusses als gegenstandslos erweisen.</w:t>
      </w:r>
    </w:p>
    <w:p>
      <w:r>
        <w:rPr>
          <w:b/>
        </w:rPr>
        <w:t>E. 7.1</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 Bei diesem Ausgang des Verfahrens wären die Kosten in der Höhe von Fr. 600.- der Beschwerdeführerin aufzuerlegen (Art. 63 Abs. 1 VwVG; Art. 1-3 des Reglements vom 21. Februar 2008 über die Kosten und Entschädigungen vor dem Bundesverwaltungsgericht [VGKE, SR 173.320.2]). Vorliegend ist jedoch gestützt auf Art. 6 Bst. b VGKE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