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D-3798/2015 vom 22. Juni 2016</w:t>
      </w:r>
    </w:p>
    <w:p>
      <w:r>
        <w:t>Bundesverwaltungsgericht, 2016-06-22, FR</w:t>
      </w:r>
    </w:p>
    <w:p>
      <w:r>
        <w:rPr>
          <w:b/>
        </w:rPr>
        <w:t xml:space="preserve">Quelle: </w:t>
      </w:r>
      <w:r>
        <w:t>https://mcp.opencaselaw.ch/entscheid/bvger_D-3798_2015</w:t>
      </w:r>
    </w:p>
    <w:p>
      <w:r>
        <w:t>FR: TAF D-3798/2015 du 22 juin 2016</w:t>
      </w:r>
    </w:p>
    <w:p>
      <w:r>
        <w:t>IT: TAF D-3798/2015 del 22 giugno 2016</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LEtr en relation avec l'art. 49 PA; voir aussi ATAF 2014/26, consid. 5).</w:t>
      </w:r>
    </w:p>
    <w:p>
      <w:r>
        <w:rPr>
          <w:b/>
        </w:rPr>
        <w:t>E. 1.4</w:t>
      </w:r>
    </w:p>
    <w:p>
      <w:r>
        <w:t>Le Tribunal examine d'office l'application du droit fédéral et les constatations de faits (art. 106 LAsi0) sans être lié par les motifs invoqués par les parties (art. 62 al. 4 PA) ni par l'argumentation juridique développée dans la décision entreprise (cf. ATAF 2014/24 consid. 2.2). 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zum Bundesgesetz über das Verwaltungsverfahren, Zurich/Bâle/Genève 2009, art. 62 PA, nos 37 à 40, p. 1249 s. et ATAF 2009/57 consid. 1.2 et 2007/41 consid.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2.2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2.3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 2.4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 2.5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w:t>
      </w:r>
    </w:p>
    <w:p>
      <w:r>
        <w:t>En l'occurrence, le SEM a retenu que les déclarations de l'intéressée au sujet de ses activités ainsi que celles du membre de sa famille en faveur de l'OLF, dans leur ensemble, étaient stéréotypées, imprécises et insuffisamment détaillées. Le Tribunal ne partage pas cette appréciation.</w:t>
      </w:r>
    </w:p>
    <w:p>
      <w:r>
        <w:rPr>
          <w:b/>
        </w:rPr>
        <w:t>E. 3.1</w:t>
      </w:r>
    </w:p>
    <w:p>
      <w:r>
        <w:t>D'abord, lors de l'audition du 3 mars 2015, les questions posées ne permettaient en grande majorité pas à l'intéressée de développer ses réponses pour permettre à l'auditeur de situer dans le contexte les faits et de récolter un maximum d'informations et de détails. En effet, 439 questions ont été posées à l'intéressée durant les quatre heures et demie d'audition, ce qui représente environ 100 questions par heure. Leur formulation commence pour la majeure partie d'entre d'elles par "wann" (quand), "wer" (qui), "wo" (où), "wie lange" (combien de temps), "mit wem" (avec qui), "wieviele" (combien). Il s'agissait donc de questions fermées. En pareilles circonstances, il ne peut être attendu de réponses détaillées.</w:t>
      </w:r>
    </w:p>
    <w:p>
      <w:r>
        <w:rPr>
          <w:b/>
        </w:rPr>
        <w:t>E. 3.2</w:t>
      </w:r>
    </w:p>
    <w:p>
      <w:r>
        <w:t>Par ailleurs, l'intéressée a été constante dans sa manière de répondre brièvement aux questions durant toute son audition, dénotant par là un trait caractéristique de sa façon de s'exprimer sur des points essentiels comme sur des éléments sans grande importance. En effet, invitée à décrire des éléments qui, à première vue paraissaient secondaires pour l'examen de sa demande d'asile, tel que la description de son domicile, sa vie quotidienne dans son pays d'origine, elle s'est contentée de brèves réponses, sans fournir de détails (cf. procès-verbal d'audition [pv.] du 3 mars 2015, réponses aux questions 59 à 144, p. 6 à 12). De même, la manière d'appréhender les questions relatives à ses motifs d'asile est constante dans la brièveté des réponses fournies et en soi ne saurait être interprétée comme un élément en défaveur de la crédibilité du récit.</w:t>
      </w:r>
    </w:p>
    <w:p>
      <w:r>
        <w:rPr>
          <w:b/>
        </w:rPr>
        <w:t>E. 3.3</w:t>
      </w:r>
    </w:p>
    <w:p>
      <w:r>
        <w:t>En outre, elle a déclaré que l'OLF se battait pour les droits du peuple d'ethnie oromo et luttait contre les agissements abusifs des autorités, que c'est à la demande d'un (membre de sa famille), membre dudit mouvement depuis (...), qu'elle avait soutenu celui-ci et qu'ils étaient les seuls de la famille à avoir des contacts avec cette organisation (cf. pv. du 3 mars 2015, réponses aux questions 152, 197, 198 et 207 p. 13, 16 et 17). Elle a précisé qu'elle n'en avait jamais été membre en raison de son jeune âge, mais l'avait aidé depuis 2005 en participant aux rencontres auxquelles elle avait été invitée (cf. pv. du 3 mars 2015, réponses aux questions 199, 200, 201, 215, p. 16, 17 et 18). Elle a également indiqué qu'avec des jeunes gens, elle avait récolté des fonds pour le mouvement et en a précisé le montant (cf. pv. du 3 mars 2015, réponses aux questions 203 et 204, p. 17). Elle a aussi mentionné avoir préparé des repas et le café lors des réunions (cf. pv. du 3 mars 2015, réponses aux questions 205 et 222 p. 17 et 18). A deux reprises, elle a répondu que les réunions à E._______ avaient lieu toutes les deux semaines, à l'endroit où (le membre de sa famille) habitait et en présence d'une quinzaine de personnes (cf. pv. du 3 mars 2015, réponses aux questions 216 - 219, 242-244, p. 18 et 20). Interrogée une nouvelle fois sur ces réunions, elle a non seulement répété ses déclarations sans aucune contradiction, mais a également fourni des précisions sur leur durée, le nom et la fonction du leader, celle de son (membre de sa famille), la date et la raison de la fuite de celui-ci (cf. pv. du 3 mars 2015, réponses aux questions 247 - 265 et 276 p. 20 à 22). Elle a encore déclaré avoir oeuvré en faveur de l'OLF sans contrainte et ne pas avoir tenté de recruter de nouveaux adhérents dans son village (pv. du 3 mars 2015, réponses aux questions 199, 207, 227 et 230, p. 16, 17 et 19). Elle a même précisé qu'elle avait été heureuse de pouvoir aider le mouvement malgré la peur des conséquences que pouvait entraîner un tel engagement (pv. du 3 mars 2015, réponses aux questions 225 et 226, p. 19).</w:t>
      </w:r>
    </w:p>
    <w:p>
      <w:r>
        <w:rPr>
          <w:b/>
        </w:rPr>
        <w:t>E. 3.4</w:t>
      </w:r>
    </w:p>
    <w:p>
      <w:r>
        <w:t>Par ailleurs, son récit n'est pas empreint d'exagération. Ainsi, elle n'aurait jamais été membre de l'OLF, elle-même et son (membre de sa famille) auraient été les seules personnes de sa famille à soutenir cette organisation, elle n'aurait jamais été contrainte d'exécuter une mission avec laquelle elle n'aurait pas été d'accord et n'aurait jamais essayé de recruter de nouveaux adhérents dans son village (pv. du 3 mars 2015, réponses aux questions 199, 207, 227 et 230, p. 16, 17 et 19).</w:t>
      </w:r>
    </w:p>
    <w:p>
      <w:r>
        <w:rPr>
          <w:b/>
        </w:rPr>
        <w:t>E. 3.5</w:t>
      </w:r>
    </w:p>
    <w:p>
      <w:r>
        <w:t>Enfin, l'intéressée a également donné une connotation émotive en précisant qu'elle avait été heureuse de pouvoir aider le mouvement malgré la peur des conséquences que pouvait entraîner un tel engagement (pv. du 3 mars 2015, réponses aux questions 225 et 226, p. 19).</w:t>
      </w:r>
    </w:p>
    <w:p>
      <w:r>
        <w:rPr>
          <w:b/>
        </w:rPr>
        <w:t>E. 3.6</w:t>
      </w:r>
    </w:p>
    <w:p>
      <w:r>
        <w:t>Au vu de ce qui précède, le Tribunal estime crédible les déclarations de l'intéressée au sujet de l'OLF, de ses activités et celles du membre de sa famille au sein de celui-ci.</w:t>
      </w:r>
    </w:p>
    <w:p>
      <w:r>
        <w:rPr>
          <w:b/>
        </w:rPr>
        <w:t>E. 3.7</w:t>
      </w:r>
    </w:p>
    <w:p>
      <w:r>
        <w:t>Par contre, les conséquences de ces activités, à savoir son identification, son arrestation et le viol dont elle aurait été la victime de la part des autorités n'apparaissent pas vraisemblables. En effet, depuis le départ d'Ethiopie du membre de sa famille identifié comme membre ou sympathisant de l'OLF, soit dix mois avant sa propre interpellation, les autorités policières ou militaires ne se sont jamais présentées au domicile familial où elle vivait pour mener leur enquête, effectuer des interrogatoires et procéder à une fouille des lieux. Tel aurait manifestement été le cas si (des membres de sa famille) avaient été contraints de fuir leur pays parce qu'identifiés comme des activistes de l'OLF. A cette occasion, elle aurait pu elle-même être mise en cause en raison de liens potentiels avec l'organisation en question. Or tel n'est pas le cas. Dans ces conditions, il n'est pas crédible que, n'ayant jamais connu de problème en raison de ses activités ou de celles du membre de sa famille (cf. pv. du 3 mars 2015, réponse à la question 231, p. 19), elle puisse avoir été identifiée comme une personne recherchée en raison de liens supposés avec l'OLF, sur la place du marché d'un village où elle s'était rendue le matin pour y effectuer des courses, puis arrêtée et agressée sexuellement. Pareille interpellation par deux personnes en civil qui seraient sorties d'une voiture pour la saisir est d'autant moins crédible que, selon la recourante, elle n'aurait même pas été amenée à décliner son identité. Dans cette mesure, la question de savoir si le SEM a retenu à juste titre ou non des contradictions entre les déclarations faites par la recourante lors de l'audition du 27 septembre 2011, interrompue car l'intéressée n'était pas en mesure de s'exprimer en amharique sur « des sujets compliqués », à savoir les motifs d'asile (cf. pv. du 27 septembre 2011, pt. 15, p. 5), et l'audition suivante peut demeurer indécise.</w:t>
      </w:r>
    </w:p>
    <w:p>
      <w:r>
        <w:rPr>
          <w:b/>
        </w:rPr>
        <w:t>E. 3.8</w:t>
      </w:r>
    </w:p>
    <w:p>
      <w:r>
        <w:t>En définitive, la recourante ne peut pas se prévaloir d'une crainte fondée de sérieux préjudices, au sens de l'art. 3 LAsi, en cas de retour dans son pays d'origine.</w:t>
      </w:r>
    </w:p>
    <w:p>
      <w:r>
        <w:rPr>
          <w:b/>
        </w:rPr>
        <w:t>E. 4</w:t>
      </w:r>
    </w:p>
    <w:p>
      <w:r>
        <w:t>Dès lors, le recours, en tant qu'il conteste le refus de reconnaissance de la qualité de réfugié et le rejet de la demande d'asile, doit être rejeté. 5.1 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5.2 Aucune exception à la règle générale du renvoi n'étant en l'espèce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conformément à l'art. 83 de la loi fédérale sur les étrangers du 16 décembre 2005 (LEtr, RS 142.20). Les trois conditions précitées, susceptibles d'empêcher l'exécution du renvoi (illicéité, inexigibilité et impossibilité) sont de nature alternative : il suffit que l'une d'elles soit réalisée pour que le renvoi soit inexécutable (cf. ATAF 2009/51 consid. 5.4 p. 748).</w:t>
      </w:r>
    </w:p>
    <w:p>
      <w:r>
        <w:rPr>
          <w:b/>
        </w:rPr>
        <w:t>E. 6.2</w:t>
      </w:r>
    </w:p>
    <w:p>
      <w:r>
        <w:t>Dans la mesure où le SEM a prononcé l'admission provisoire de la recourante et de son enfant en raison de l'inexigibilité de l'exécution de leur renvoi, par décision du 29 janvier 2016, le recours en cette matière est devenu sans objet et doit être rayé du rôle.</w:t>
      </w:r>
    </w:p>
    <w:p>
      <w:r>
        <w:rPr>
          <w:b/>
        </w:rPr>
        <w:t>E. 7.1</w:t>
      </w:r>
    </w:p>
    <w:p>
      <w:r>
        <w:t>Vu l'issue de la cause, il y aurait lieu de mettre des frais réduits de procédure à la charge de la recourante, conformément aux art. 63 al. 1 PA et 2 et 3 let. b du règlement du 21 février 2008 concernant les frais, dépens et indemnités fixés par le Tribunal administratif fédéral (FITAF, RS 173.320.2).</w:t>
      </w:r>
    </w:p>
    <w:p>
      <w:r>
        <w:rPr>
          <w:b/>
        </w:rPr>
        <w:t>E. 7.2</w:t>
      </w:r>
    </w:p>
    <w:p>
      <w:r>
        <w:t>La demande d'assistance judiciaire totale ayant toutefois été admise, il y a lieu de statuer sans frais.</w:t>
      </w:r>
    </w:p>
    <w:p>
      <w:r>
        <w:rPr>
          <w:b/>
        </w:rPr>
        <w:t>E. 7.3</w:t>
      </w:r>
    </w:p>
    <w:p>
      <w:r>
        <w:t>Dans la mesure où l'indemnité de 1'200 francs versée à l'ancienne mandataire d'office couvre l'ensemble des activités qui ont été menées dans le cadre de la présente procédure, et qu'aucune autre activité n'a été déployée depuis lors (cf. note de frais du 9 juin 2016), soit depuis le 21 avril 2016, rien ne justifie le versement d'une indemnité à la mandataire d'office nommée depuis lors.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