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D-3788/2012 vom 27. August 2012</w:t>
      </w:r>
    </w:p>
    <w:p>
      <w:r>
        <w:t>Bundesverwaltungsgericht, 2012-08-27, DE</w:t>
      </w:r>
    </w:p>
    <w:p>
      <w:r>
        <w:rPr>
          <w:b/>
        </w:rPr>
        <w:t xml:space="preserve">Quelle: </w:t>
      </w:r>
      <w:r>
        <w:t>https://mcp.opencaselaw.ch/entscheid/bvger_D-3788_2012</w:t>
      </w:r>
    </w:p>
    <w:p>
      <w:r>
        <w:t>FR: TAF D-3788/2012 du 27 août 2012</w:t>
      </w:r>
    </w:p>
    <w:p>
      <w:r>
        <w:t>IT: TAF D-3788/2012 del 27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Abs. 1 AsylG).</w:t>
      </w:r>
    </w:p>
    <w:p>
      <w:r>
        <w:rPr>
          <w:b/>
        </w:rPr>
        <w:t>E. 4.3</w:t>
      </w:r>
    </w:p>
    <w:p>
      <w:r>
        <w:t>Ehegatten, eingetragene Partnerinnen und Partner von Flüchtlingen und ihre minderjährigen Kinder werden als Flüchtlinge anerkannt und erhalten Asyl, wenn keine besonderen Umstände dagegen sprechen (Art. 51 Abs. 1 AsylG).</w:t>
      </w:r>
    </w:p>
    <w:p>
      <w:r>
        <w:rPr>
          <w:b/>
        </w:rPr>
        <w:t>E. 4.4</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BVGE 2009/29 E. 5.1; Entscheidungen und Mitteilungen der Schweizerischen Asylrekurskommission [EMARK] 2006 Nr. 1 E. 6.1 S. 10, mit weiteren Hinweisen).</w:t>
      </w:r>
    </w:p>
    <w:p>
      <w:r>
        <w:rPr>
          <w:b/>
        </w:rPr>
        <w:t>E. 5.1</w:t>
      </w:r>
    </w:p>
    <w:p>
      <w:r>
        <w:t>Vorab ist festzustellen, dass das BFF in seiner Verfügung vom 21. Februar 2003 die von den Beschwerdeführenden in ihrem ersten Asylverfahren vorgebrachten Vorfluchtgründe als unglaubhaft beziehungsweise nicht asylrelevant erachtete und diese Einschätzung vom Bundesverwaltungsgericht im Urteil vom 1. September 2008 bestätigt wurde. Die von den Beschwerdeführenden im ersten Asylverfahren vorgebrachten Vorfluchtgründe sind demnach im vorliegenden Verfahren nicht mehr zu prüfen. Gegenstand desselben sind einzig die von den Beschwerdeführenden im Rahmen des zweiten Asylverfahrens vorgebrachten exilpolitischen Aktivitäten des Beschwerdeführenden 1.</w:t>
      </w:r>
    </w:p>
    <w:p>
      <w:r>
        <w:rPr>
          <w:b/>
        </w:rPr>
        <w:t>E. 5.2</w:t>
      </w:r>
    </w:p>
    <w:p>
      <w:r>
        <w:t>Aus den Akten ist ersichtlich, dass der Beschwerdeführende 1 seit Ende 2007 Mitglied und aktiv bei der Schweizer Sektion der TAJ ist. Ab dem Jahre 2008 war er eine Zeit lang Verantwortlicher für die Aktivitäten dieser Organisation im Kanton J._______. Er hat seinen Angaben und den eingereichten Beweismitteln zufolge in der Schweiz an mehreren Protestkundgebungen gegen das jementische Regime und für die Freiheit und Unabhängigkeit des Südjemens teilgenommen, bei denen er teilweise auch (mehr oder weniger) erkennbar fotografiert und gefilmt wurde. Einige dieser anlässlich der Protestkundgebungen geschossenen Fotos wurden ins Internet gestellt. Zudem sollen Bilder von einer Demonstration in I._______ im jemenitischen Fernsehen ausgestrahlt worden sein. Überdies hat der Beschwerdeführende 1 zwei im Internet publizierte Erklärungen von Südarabern mitunterzeichnet. Ausserdem lässt sich aus den Akten entnehmen, dass verschiedene in arabischer Sprache verfasste regimekritische Artikel unter dem Namen des Beschwerdeführenden 1 im Internet veröffentlicht wurden.</w:t>
      </w:r>
    </w:p>
    <w:p>
      <w:r>
        <w:rPr>
          <w:b/>
        </w:rPr>
        <w:t>E. 5.3</w:t>
      </w:r>
    </w:p>
    <w:p>
      <w:r>
        <w:t>Nach Erkenntnissen des Bundesverwaltungsgerichts wurden zwar im vergangenen Jahr mehrere Aktivisten autonomistisch orientierter Gruppierungen Südjemens inhaftiert, jedoch nach der Bildung der Übergangsregierung wieder freigelassen. Es kann keine generelle Verfolgungsgefahr von Befürwortern eines unabhängigen Südens angenommen werden. Es ist weiter davon auszugehen, dass sich das politische Klima seit dem Umsturz im jemenitischen Machtgefüge im Zusammenhang mit dem sogenannten "arabischen Frühling" verändert hat. Obwohl in der nach den Wahlen vom 21. Februar 2012 gebildeten Übergangsregierung keine Vertreter der autonomistischen Bewegung Südjemens vorgesehen sind und die Wahlen im Süden teilweise boykottiert wurden, ist eine politische Umstrukturierung im Gange, in welcher sich ein beidseitiges Interesse am Dialog abzuzeichnen scheint (vgl. Urteil des Bundesverwaltungsgerichts D-656/2010 vom 22. März 2012, E. 3.2.4.1, mit weiteren Hinweisen).</w:t>
      </w:r>
    </w:p>
    <w:p>
      <w:r>
        <w:rPr>
          <w:b/>
        </w:rPr>
        <w:t>E. 5.4</w:t>
      </w:r>
    </w:p>
    <w:p>
      <w:r>
        <w:t>Bei der TAJ handelt es sich um eine im Jahre 2003 in Grossbritannien gegründete Organisation von Südjemeniten im Exil, die in erster Linie ausserhalb Jemens aktiv ist und die Loslösung und Unabhängigkeit Südjemens vom jemenitischen Staat anstrebt. Es bestehen konkrete Anzeichen dafür, dass die Aktivitäten dieser Organisation in der Vergangenheit durch die Behörden Jemens überwacht wurden und auch heute noch, trotz der nach den Wahlen vom 21. Februar 2012 gebildeten Übergangsregierung, überwacht werden. Aus diesem Grund kann nicht ausgeschlossen werden, dass besonders aktive Mitglieder der TAJ beziehungsweise deren Führungsmitglieder bei einer Rückkehr in den Jemen von Seiten der jemenitischen Behörden Nachteile zu gewärtigen haben. Indes ist angesichts der politischen Umstrukturierung und der schwachen Kontrolle der Zentralregierung fraglich, inwieweit diese aktuell gewillt beziehungsweise in der Lage ist, exilpolitische Aktivitäten umfassend zu überwachen. Abgesehen davon reicht der Umstand, wonach die jemenitischen Behörden im Ausland politisierende Personen überwacht, für sich allein genommen nicht aus, eine begründete Verfolgungsfurcht zu konstituieren. Vielmehr müssen zusätzlich konkrete Anhaltspunkte - nicht lediglich abstrakte oder rein theoretische Möglichkeiten - dafür vorliegen, dass der Beschwerdeführende 1 tatsächlich das Interesse der jemenitischen Behörden auf sich gezogen respektive als regimefeindliches Element namentlich registriert wurde.</w:t>
      </w:r>
    </w:p>
    <w:p>
      <w:r>
        <w:rPr>
          <w:b/>
        </w:rPr>
        <w:t>E. 5.5</w:t>
      </w:r>
    </w:p>
    <w:p>
      <w:r>
        <w:t>Nach Prüfung der Akten kommt das Bundesverwaltungsgericht in Übereinstimmung mit der Vorinstanz zum Schluss, dass der Beschwerdeführende 1 vorliegend keinen Bekanntheitsgrad erreicht, bei dem angenommen werden müsste, dass er die besondere Aufmerksamkeit der jemenitischen Behörden erregt hat und diese ihn als Gefährdung für das Regime betrachten könnten. Wie vorstehend erwähnt (vgl. E. 5.1), haben sich die vom Beschwerdeführenden 1 vorgebrachten Vorfluchtgründe als unglaubhaft erwiesen und demnach kann eine Registrierung als regimefeindliche Person vor seiner Ausreise ausgeschlossen werden. Die Vorbringen des Beschwerdeführenden 1 und die vorliegenden Beweismittel lassen zudem auf ein bloss niederschwelliges exilpolitisches Engagement schliessen. Aufgrund der Aktenlage liegen keine hinreichenden Anhaltspunkte für die Annahme vor, das Engagement des Beschwerdeführenden 1 würde dasjenige vieler seiner Landsleute im Exil deutlich übersteigen und er hätte sich dadurch massgebend exponiert. An dieser Einschätzung ändert auch der Umstand nichts, dass er zeitweise Verantwortlicher für die Aktivitäten der TAJ im Kanton J._______ gewesen ist, da es sich dabei nicht um eine hochrangige Position innerhalb dieser Organisation handelt. Insgesamt besteht nach dem Gesagten keine überwiegende Wahrscheinlichkeit dafür, dass seitens der jemenitischen Behörden aktuell ein Verfolgungsinteresse am Beschwerdeführenden 1 wegen seiner exilpolitischen Tätigkeiten besteht.</w:t>
      </w:r>
    </w:p>
    <w:p>
      <w:r>
        <w:rPr>
          <w:b/>
        </w:rPr>
        <w:t>E. 5.6</w:t>
      </w:r>
    </w:p>
    <w:p>
      <w:r>
        <w:t>Zusammenfassend ergibt sich, dass vorliegend in Bezug auf den Beschwerdeführenden 1 keine subjektiven Nachfluchtgründe im Sinne von Art. 54 AsylG bestehen, die zur Zuerkennung der Flüchtlingseigenschaft hätten führen können. An dieser Beurteilung vermögen weder die weiteren Ausführungen im zweiten Asylgesuch respektive in der Rechtsmittelschrift vom 17. Juli 2012 noch die Beweismittel etwas zu ändern.</w:t>
      </w:r>
    </w:p>
    <w:p>
      <w:r>
        <w:rPr>
          <w:b/>
        </w:rPr>
        <w:t>E. 6</w:t>
      </w:r>
    </w:p>
    <w:p>
      <w:r>
        <w:t>Nach dem Gesagten folgt, dass die Beschwerdeführenden nicht nachweisen oder glaubhaft machen konnten, dass der Beschwerdeführende 1 Flüchtling im Sinne von Art. 3 AsylG ist. Das Bundesamt hat daher zu Recht die Flüchtlingseigenschaft der Beschwerdeführenden verneint und deren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EMARK 2001 Nr. 21).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3.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